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1ED5" w:rsidRDefault="003B1ED5" w:rsidP="00DF5630">
      <w:pPr>
        <w:pStyle w:val="Textoindependiente"/>
        <w:ind w:left="536"/>
        <w:jc w:val="center"/>
        <w:rPr>
          <w:sz w:val="20"/>
        </w:rPr>
      </w:pPr>
      <w:r>
        <w:rPr>
          <w:noProof/>
          <w:sz w:val="28"/>
          <w:szCs w:val="28"/>
          <w:u w:val="single"/>
          <w:lang w:val="es-AR" w:eastAsia="es-AR" w:bidi="ar-SA"/>
        </w:rPr>
        <w:drawing>
          <wp:anchor distT="0" distB="0" distL="114300" distR="114300" simplePos="0" relativeHeight="251661312" behindDoc="1" locked="0" layoutInCell="1" allowOverlap="1">
            <wp:simplePos x="0" y="0"/>
            <wp:positionH relativeFrom="column">
              <wp:posOffset>43522</wp:posOffset>
            </wp:positionH>
            <wp:positionV relativeFrom="paragraph">
              <wp:posOffset>3175</wp:posOffset>
            </wp:positionV>
            <wp:extent cx="5543550" cy="2555760"/>
            <wp:effectExtent l="0" t="0" r="0" b="0"/>
            <wp:wrapTight wrapText="bothSides">
              <wp:wrapPolygon edited="0">
                <wp:start x="0" y="0"/>
                <wp:lineTo x="0" y="21471"/>
                <wp:lineTo x="21526" y="21471"/>
                <wp:lineTo x="21526" y="0"/>
                <wp:lineTo x="0" y="0"/>
              </wp:wrapPolygon>
            </wp:wrapTight>
            <wp:docPr id="11" name="Imagen 1" descr="Nuev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evo 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3550" cy="2555760"/>
                    </a:xfrm>
                    <a:prstGeom prst="rect">
                      <a:avLst/>
                    </a:prstGeom>
                    <a:noFill/>
                    <a:ln w="9525">
                      <a:noFill/>
                      <a:miter lim="800000"/>
                      <a:headEnd/>
                      <a:tailEnd/>
                    </a:ln>
                  </pic:spPr>
                </pic:pic>
              </a:graphicData>
            </a:graphic>
          </wp:anchor>
        </w:drawing>
      </w:r>
    </w:p>
    <w:p w:rsidR="003B1ED5" w:rsidRDefault="003B1ED5" w:rsidP="003B1ED5">
      <w:pPr>
        <w:pStyle w:val="Textoindependiente"/>
        <w:rPr>
          <w:sz w:val="20"/>
        </w:rPr>
      </w:pPr>
    </w:p>
    <w:p w:rsidR="003B1ED5" w:rsidRDefault="003B1ED5" w:rsidP="003B1ED5">
      <w:pPr>
        <w:pStyle w:val="Textoindependiente"/>
        <w:spacing w:before="3"/>
        <w:rPr>
          <w:sz w:val="22"/>
        </w:rPr>
      </w:pPr>
    </w:p>
    <w:p w:rsidR="003B1ED5" w:rsidRDefault="003B1ED5" w:rsidP="003B1ED5">
      <w:pPr>
        <w:spacing w:before="85" w:line="242" w:lineRule="auto"/>
        <w:ind w:left="170" w:right="161"/>
        <w:jc w:val="center"/>
        <w:rPr>
          <w:b/>
          <w:sz w:val="36"/>
        </w:rPr>
      </w:pPr>
    </w:p>
    <w:p w:rsidR="003B1ED5" w:rsidRDefault="003B1ED5" w:rsidP="00DF5630">
      <w:pPr>
        <w:spacing w:before="85" w:line="242" w:lineRule="auto"/>
        <w:ind w:left="170" w:right="161"/>
        <w:jc w:val="center"/>
        <w:rPr>
          <w:b/>
          <w:sz w:val="36"/>
        </w:rPr>
      </w:pPr>
      <w:r>
        <w:rPr>
          <w:b/>
          <w:sz w:val="36"/>
        </w:rPr>
        <w:t>LA POBREZA SIGUE SUBIENDO</w:t>
      </w:r>
    </w:p>
    <w:p w:rsidR="003B1ED5" w:rsidRDefault="003B1ED5" w:rsidP="00DF5630">
      <w:pPr>
        <w:pStyle w:val="Textoindependiente"/>
        <w:jc w:val="center"/>
        <w:rPr>
          <w:b/>
          <w:sz w:val="40"/>
        </w:rPr>
      </w:pPr>
    </w:p>
    <w:p w:rsidR="003B1ED5" w:rsidRDefault="003B1ED5" w:rsidP="00DF5630">
      <w:pPr>
        <w:pStyle w:val="Textoindependiente"/>
        <w:spacing w:before="6"/>
        <w:jc w:val="center"/>
        <w:rPr>
          <w:b/>
          <w:sz w:val="31"/>
        </w:rPr>
      </w:pPr>
    </w:p>
    <w:p w:rsidR="003B1ED5" w:rsidRDefault="003B1ED5" w:rsidP="00DF5630">
      <w:pPr>
        <w:pStyle w:val="Ttulo11"/>
        <w:ind w:right="180"/>
      </w:pPr>
      <w:r>
        <w:t>MEDICIÓN AL PRIMER TRIMESTRE 2019</w:t>
      </w:r>
    </w:p>
    <w:p w:rsidR="003B1ED5" w:rsidRDefault="003B1ED5" w:rsidP="003B1ED5">
      <w:pPr>
        <w:pStyle w:val="Textoindependiente"/>
        <w:rPr>
          <w:b/>
          <w:sz w:val="30"/>
        </w:rPr>
      </w:pPr>
    </w:p>
    <w:p w:rsidR="003B1ED5" w:rsidRDefault="003B1ED5" w:rsidP="003B1ED5">
      <w:pPr>
        <w:pStyle w:val="Textoindependiente"/>
        <w:rPr>
          <w:b/>
          <w:sz w:val="30"/>
        </w:rPr>
      </w:pPr>
    </w:p>
    <w:p w:rsidR="000556A6" w:rsidRDefault="000556A6" w:rsidP="003B1ED5">
      <w:pPr>
        <w:pStyle w:val="Textoindependiente"/>
        <w:rPr>
          <w:b/>
          <w:sz w:val="30"/>
        </w:rPr>
      </w:pPr>
    </w:p>
    <w:p w:rsidR="000556A6" w:rsidRDefault="000556A6" w:rsidP="003B1ED5">
      <w:pPr>
        <w:pStyle w:val="Textoindependiente"/>
        <w:rPr>
          <w:b/>
          <w:sz w:val="30"/>
        </w:rPr>
      </w:pPr>
    </w:p>
    <w:p w:rsidR="003B1ED5" w:rsidRDefault="003B1ED5" w:rsidP="003B1ED5">
      <w:pPr>
        <w:pStyle w:val="Textoindependiente"/>
        <w:spacing w:before="5"/>
        <w:rPr>
          <w:b/>
          <w:sz w:val="36"/>
        </w:rPr>
      </w:pPr>
    </w:p>
    <w:p w:rsidR="003B1ED5" w:rsidRPr="00DF5630" w:rsidRDefault="00DF5630" w:rsidP="00DF5630">
      <w:pPr>
        <w:pStyle w:val="Textoindependiente"/>
        <w:jc w:val="right"/>
        <w:rPr>
          <w:bCs/>
          <w:sz w:val="26"/>
          <w:szCs w:val="26"/>
          <w:u w:val="single"/>
        </w:rPr>
      </w:pPr>
      <w:r w:rsidRPr="00DF5630">
        <w:rPr>
          <w:bCs/>
          <w:sz w:val="26"/>
          <w:szCs w:val="26"/>
          <w:u w:val="single"/>
        </w:rPr>
        <w:t xml:space="preserve">Base </w:t>
      </w:r>
      <w:r>
        <w:rPr>
          <w:bCs/>
          <w:sz w:val="26"/>
          <w:szCs w:val="26"/>
          <w:u w:val="single"/>
        </w:rPr>
        <w:t>E</w:t>
      </w:r>
      <w:r w:rsidRPr="00DF5630">
        <w:rPr>
          <w:bCs/>
          <w:sz w:val="26"/>
          <w:szCs w:val="26"/>
          <w:u w:val="single"/>
        </w:rPr>
        <w:t>stadística:</w:t>
      </w:r>
    </w:p>
    <w:p w:rsidR="00DF5630" w:rsidRDefault="00DF5630" w:rsidP="00DF5630">
      <w:pPr>
        <w:pStyle w:val="Textoindependiente"/>
        <w:jc w:val="right"/>
        <w:rPr>
          <w:bCs/>
          <w:sz w:val="26"/>
          <w:szCs w:val="26"/>
        </w:rPr>
      </w:pPr>
      <w:proofErr w:type="spellStart"/>
      <w:r>
        <w:rPr>
          <w:bCs/>
          <w:sz w:val="26"/>
          <w:szCs w:val="26"/>
        </w:rPr>
        <w:t>Samantha</w:t>
      </w:r>
      <w:proofErr w:type="spellEnd"/>
      <w:r>
        <w:rPr>
          <w:bCs/>
          <w:sz w:val="26"/>
          <w:szCs w:val="26"/>
        </w:rPr>
        <w:t xml:space="preserve"> </w:t>
      </w:r>
      <w:proofErr w:type="spellStart"/>
      <w:r>
        <w:rPr>
          <w:bCs/>
          <w:sz w:val="26"/>
          <w:szCs w:val="26"/>
        </w:rPr>
        <w:t>Horwitz</w:t>
      </w:r>
      <w:proofErr w:type="spellEnd"/>
    </w:p>
    <w:p w:rsidR="00DF5630" w:rsidRDefault="00DF5630" w:rsidP="00DF5630">
      <w:pPr>
        <w:pStyle w:val="Textoindependiente"/>
        <w:jc w:val="right"/>
        <w:rPr>
          <w:bCs/>
          <w:sz w:val="26"/>
          <w:szCs w:val="26"/>
        </w:rPr>
      </w:pPr>
      <w:r>
        <w:rPr>
          <w:bCs/>
          <w:sz w:val="26"/>
          <w:szCs w:val="26"/>
        </w:rPr>
        <w:t>Javier Rameri</w:t>
      </w:r>
    </w:p>
    <w:p w:rsidR="00DF5630" w:rsidRDefault="00DF5630" w:rsidP="00DF5630">
      <w:pPr>
        <w:pStyle w:val="Textoindependiente"/>
        <w:jc w:val="right"/>
        <w:rPr>
          <w:bCs/>
          <w:sz w:val="26"/>
          <w:szCs w:val="26"/>
        </w:rPr>
      </w:pPr>
      <w:r>
        <w:rPr>
          <w:bCs/>
          <w:sz w:val="26"/>
          <w:szCs w:val="26"/>
        </w:rPr>
        <w:t xml:space="preserve">Ignacio </w:t>
      </w:r>
      <w:r w:rsidR="001623AB">
        <w:rPr>
          <w:bCs/>
          <w:sz w:val="26"/>
          <w:szCs w:val="26"/>
        </w:rPr>
        <w:t>López</w:t>
      </w:r>
      <w:r>
        <w:rPr>
          <w:bCs/>
          <w:sz w:val="26"/>
          <w:szCs w:val="26"/>
        </w:rPr>
        <w:t xml:space="preserve"> </w:t>
      </w:r>
      <w:proofErr w:type="spellStart"/>
      <w:r>
        <w:rPr>
          <w:bCs/>
          <w:sz w:val="26"/>
          <w:szCs w:val="26"/>
        </w:rPr>
        <w:t>Mieres</w:t>
      </w:r>
      <w:proofErr w:type="spellEnd"/>
    </w:p>
    <w:p w:rsidR="00DF5630" w:rsidRPr="00DF5630" w:rsidRDefault="00DF5630" w:rsidP="00DF5630">
      <w:pPr>
        <w:pStyle w:val="Textoindependiente"/>
        <w:jc w:val="right"/>
        <w:rPr>
          <w:bCs/>
          <w:sz w:val="26"/>
          <w:szCs w:val="26"/>
        </w:rPr>
      </w:pPr>
    </w:p>
    <w:p w:rsidR="003B1ED5" w:rsidRDefault="003B1ED5" w:rsidP="003B1ED5">
      <w:pPr>
        <w:pStyle w:val="Textoindependiente"/>
        <w:rPr>
          <w:b/>
          <w:sz w:val="36"/>
        </w:rPr>
      </w:pPr>
    </w:p>
    <w:p w:rsidR="003B1ED5" w:rsidRDefault="003B1ED5" w:rsidP="003B1ED5">
      <w:pPr>
        <w:pStyle w:val="Textoindependiente"/>
        <w:rPr>
          <w:b/>
          <w:sz w:val="36"/>
        </w:rPr>
      </w:pPr>
    </w:p>
    <w:p w:rsidR="003B1ED5" w:rsidRDefault="003B1ED5" w:rsidP="003B1ED5">
      <w:pPr>
        <w:pStyle w:val="Ttulo11"/>
      </w:pPr>
    </w:p>
    <w:p w:rsidR="003B1ED5" w:rsidRDefault="003B1ED5" w:rsidP="003B1ED5">
      <w:pPr>
        <w:pStyle w:val="Ttulo11"/>
      </w:pPr>
      <w:r>
        <w:t>Claudio Lozano</w:t>
      </w:r>
    </w:p>
    <w:p w:rsidR="009D23E5" w:rsidRDefault="009D23E5" w:rsidP="003B1ED5">
      <w:pPr>
        <w:pStyle w:val="Ttulo11"/>
      </w:pPr>
    </w:p>
    <w:p w:rsidR="003B1ED5" w:rsidRDefault="003B1ED5" w:rsidP="003B1ED5">
      <w:pPr>
        <w:pStyle w:val="Ttulo11"/>
      </w:pPr>
      <w:r>
        <w:t>2/08/2019</w:t>
      </w:r>
    </w:p>
    <w:p w:rsidR="003B1ED5" w:rsidRDefault="003B1ED5" w:rsidP="003B1ED5">
      <w:pPr>
        <w:pStyle w:val="Textoindependiente"/>
        <w:rPr>
          <w:b/>
          <w:sz w:val="30"/>
        </w:rPr>
      </w:pPr>
    </w:p>
    <w:p w:rsidR="003B1ED5" w:rsidRDefault="003B1ED5" w:rsidP="003B1ED5">
      <w:pPr>
        <w:pStyle w:val="Textoindependiente"/>
        <w:rPr>
          <w:b/>
          <w:sz w:val="30"/>
        </w:rPr>
      </w:pPr>
    </w:p>
    <w:p w:rsidR="003B1ED5" w:rsidRPr="003B1ED5" w:rsidRDefault="003B1ED5" w:rsidP="003B1ED5">
      <w:pPr>
        <w:ind w:left="170" w:right="162"/>
        <w:jc w:val="center"/>
        <w:rPr>
          <w:b/>
          <w:sz w:val="28"/>
        </w:rPr>
        <w:sectPr w:rsidR="003B1ED5" w:rsidRPr="003B1ED5" w:rsidSect="003B1ED5">
          <w:pgSz w:w="11910" w:h="16840"/>
          <w:pgMar w:top="1580" w:right="1580" w:bottom="280" w:left="1600" w:header="720" w:footer="720" w:gutter="0"/>
          <w:cols w:space="720"/>
        </w:sectPr>
      </w:pPr>
    </w:p>
    <w:p w:rsidR="00FE224E" w:rsidRDefault="00501415" w:rsidP="00501415">
      <w:pPr>
        <w:jc w:val="center"/>
        <w:rPr>
          <w:color w:val="000000"/>
          <w:u w:val="single"/>
          <w:lang w:val="es-ES" w:eastAsia="es-ES"/>
        </w:rPr>
      </w:pPr>
      <w:r w:rsidRPr="00501415">
        <w:rPr>
          <w:color w:val="000000"/>
          <w:u w:val="single"/>
          <w:lang w:val="es-ES" w:eastAsia="es-ES"/>
        </w:rPr>
        <w:lastRenderedPageBreak/>
        <w:t>La primera medición de pobreza del año</w:t>
      </w:r>
      <w:r w:rsidR="00FE224E">
        <w:rPr>
          <w:color w:val="000000"/>
          <w:u w:val="single"/>
          <w:lang w:val="es-ES" w:eastAsia="es-ES"/>
        </w:rPr>
        <w:t xml:space="preserve"> </w:t>
      </w:r>
    </w:p>
    <w:p w:rsidR="001C75C0" w:rsidRPr="00501415" w:rsidRDefault="00FE224E" w:rsidP="00501415">
      <w:pPr>
        <w:jc w:val="center"/>
        <w:rPr>
          <w:color w:val="000000"/>
          <w:u w:val="single"/>
          <w:lang w:val="es-ES" w:eastAsia="es-ES"/>
        </w:rPr>
      </w:pPr>
      <w:r>
        <w:rPr>
          <w:color w:val="000000"/>
          <w:u w:val="single"/>
          <w:lang w:val="es-ES" w:eastAsia="es-ES"/>
        </w:rPr>
        <w:t>Las condiciones de vida al primer trimestre 2019</w:t>
      </w:r>
    </w:p>
    <w:p w:rsidR="001C75C0" w:rsidRDefault="001C75C0" w:rsidP="009E3B2C">
      <w:pPr>
        <w:jc w:val="both"/>
        <w:rPr>
          <w:rFonts w:ascii="Arial" w:hAnsi="Arial" w:cs="Arial"/>
          <w:color w:val="000000"/>
          <w:sz w:val="20"/>
          <w:szCs w:val="20"/>
          <w:lang w:val="es-ES" w:eastAsia="es-ES"/>
        </w:rPr>
      </w:pPr>
    </w:p>
    <w:p w:rsidR="00945FEF" w:rsidRDefault="00945FEF" w:rsidP="009E3B2C">
      <w:pPr>
        <w:jc w:val="both"/>
        <w:rPr>
          <w:color w:val="000000"/>
          <w:lang w:val="es-ES" w:eastAsia="es-ES"/>
        </w:rPr>
      </w:pPr>
    </w:p>
    <w:p w:rsidR="00D7644B" w:rsidRPr="00AB231D" w:rsidRDefault="00945FEF" w:rsidP="009E3B2C">
      <w:pPr>
        <w:jc w:val="both"/>
        <w:rPr>
          <w:color w:val="000000"/>
          <w:lang w:val="es-ES" w:eastAsia="es-ES"/>
        </w:rPr>
      </w:pPr>
      <w:r>
        <w:rPr>
          <w:color w:val="000000"/>
          <w:lang w:val="es-ES" w:eastAsia="es-ES"/>
        </w:rPr>
        <w:tab/>
      </w:r>
      <w:r w:rsidR="00AD10F8" w:rsidRPr="00AB231D">
        <w:rPr>
          <w:color w:val="000000"/>
          <w:lang w:val="es-ES" w:eastAsia="es-ES"/>
        </w:rPr>
        <w:t xml:space="preserve">En el presente documento presentamos un ejercicio de estimación </w:t>
      </w:r>
      <w:r w:rsidR="008162F0" w:rsidRPr="00AB231D">
        <w:rPr>
          <w:color w:val="000000"/>
          <w:lang w:val="es-ES" w:eastAsia="es-ES"/>
        </w:rPr>
        <w:t xml:space="preserve">de los niveles de pobreza e indigencia al primer trimestre 2019. Si bien se trata de una elaboración propia, ésta se realiza sobre la base de información oficial, tanto </w:t>
      </w:r>
      <w:r w:rsidR="00875B95" w:rsidRPr="00AB231D">
        <w:rPr>
          <w:color w:val="000000"/>
          <w:lang w:val="es-ES" w:eastAsia="es-ES"/>
        </w:rPr>
        <w:t>en términos metodológicos (se emularon los criterios vigentes de medición) como el conjunto de datos utilizados sobre ingresos, precios y valorización de las canastas. La única ventaja de adaptar la medición oficial</w:t>
      </w:r>
      <w:r w:rsidR="00883CD0">
        <w:rPr>
          <w:color w:val="000000"/>
          <w:lang w:val="es-ES" w:eastAsia="es-ES"/>
        </w:rPr>
        <w:t xml:space="preserve"> vigente</w:t>
      </w:r>
      <w:r w:rsidR="00875B95" w:rsidRPr="00AB231D">
        <w:rPr>
          <w:color w:val="000000"/>
          <w:lang w:val="es-ES" w:eastAsia="es-ES"/>
        </w:rPr>
        <w:t xml:space="preserve"> es la posibilidad de </w:t>
      </w:r>
      <w:r w:rsidR="005F106E" w:rsidRPr="00AB231D">
        <w:rPr>
          <w:color w:val="000000"/>
          <w:lang w:val="es-ES" w:eastAsia="es-ES"/>
        </w:rPr>
        <w:t xml:space="preserve">obtener </w:t>
      </w:r>
      <w:r w:rsidR="00604CD8" w:rsidRPr="00AB231D">
        <w:rPr>
          <w:color w:val="000000"/>
          <w:lang w:val="es-ES" w:eastAsia="es-ES"/>
        </w:rPr>
        <w:t>información sobre los</w:t>
      </w:r>
      <w:r w:rsidR="005F106E" w:rsidRPr="00AB231D">
        <w:rPr>
          <w:color w:val="000000"/>
          <w:lang w:val="es-ES" w:eastAsia="es-ES"/>
        </w:rPr>
        <w:t xml:space="preserve"> niveles de empobrecimiento de la población </w:t>
      </w:r>
      <w:r w:rsidR="00AF115B" w:rsidRPr="00AB231D">
        <w:rPr>
          <w:color w:val="000000"/>
          <w:lang w:val="es-ES" w:eastAsia="es-ES"/>
        </w:rPr>
        <w:t xml:space="preserve">con mayor </w:t>
      </w:r>
      <w:r w:rsidR="00604CD8" w:rsidRPr="00AB231D">
        <w:rPr>
          <w:color w:val="000000"/>
          <w:lang w:val="es-ES" w:eastAsia="es-ES"/>
        </w:rPr>
        <w:t>asiduidad</w:t>
      </w:r>
      <w:r w:rsidR="00AF115B" w:rsidRPr="00AB231D">
        <w:rPr>
          <w:color w:val="000000"/>
          <w:lang w:val="es-ES" w:eastAsia="es-ES"/>
        </w:rPr>
        <w:t xml:space="preserve"> haciendo uso de las bases usuarias de la EPH publicadas trimestralmente. Recordemos que actualmente la publicación </w:t>
      </w:r>
      <w:r w:rsidR="00604CD8" w:rsidRPr="00AB231D">
        <w:rPr>
          <w:color w:val="000000"/>
          <w:lang w:val="es-ES" w:eastAsia="es-ES"/>
        </w:rPr>
        <w:t xml:space="preserve">oficial </w:t>
      </w:r>
      <w:r w:rsidR="00AF115B" w:rsidRPr="00AB231D">
        <w:rPr>
          <w:color w:val="000000"/>
          <w:lang w:val="es-ES" w:eastAsia="es-ES"/>
        </w:rPr>
        <w:t>de los indicadores de pobreza e indigencia tienen una frecuencia semestral</w:t>
      </w:r>
      <w:r w:rsidR="00604CD8" w:rsidRPr="00AB231D">
        <w:rPr>
          <w:color w:val="000000"/>
          <w:lang w:val="es-ES" w:eastAsia="es-ES"/>
        </w:rPr>
        <w:t xml:space="preserve"> para suavizar las oscilaciones estacionales que, en materia de ingresos, tienen las distintas etapas del año (ej. el cobro del aguinaldo para los trabajadores formales con mayor impacto en los primeros y terceros trimestres del año).</w:t>
      </w:r>
    </w:p>
    <w:p w:rsidR="00D7644B" w:rsidRPr="00AB231D" w:rsidRDefault="00D7644B" w:rsidP="009E3B2C">
      <w:pPr>
        <w:jc w:val="both"/>
        <w:rPr>
          <w:b/>
          <w:bCs/>
          <w:color w:val="000000"/>
          <w:lang w:val="es-ES" w:eastAsia="es-ES"/>
        </w:rPr>
      </w:pPr>
    </w:p>
    <w:p w:rsidR="00D7644B" w:rsidRPr="00AB231D" w:rsidRDefault="00A43FA4" w:rsidP="009E3B2C">
      <w:pPr>
        <w:jc w:val="both"/>
        <w:rPr>
          <w:color w:val="000000"/>
          <w:lang w:val="es-ES" w:eastAsia="es-ES"/>
        </w:rPr>
      </w:pPr>
      <w:r w:rsidRPr="00AB231D">
        <w:rPr>
          <w:color w:val="000000"/>
          <w:lang w:val="es-ES" w:eastAsia="es-ES"/>
        </w:rPr>
        <w:tab/>
      </w:r>
      <w:r w:rsidR="0030581A" w:rsidRPr="00AB231D">
        <w:rPr>
          <w:color w:val="000000"/>
          <w:lang w:val="es-ES" w:eastAsia="es-ES"/>
        </w:rPr>
        <w:t xml:space="preserve">Se presenta entonces, en el cuadro N º 1 las tasas resultantes para los primeros tres meses del corriente año. </w:t>
      </w:r>
      <w:r w:rsidR="008249B7" w:rsidRPr="000A2A71">
        <w:rPr>
          <w:lang w:val="es-ES" w:eastAsia="es-ES"/>
        </w:rPr>
        <w:t>A pesar</w:t>
      </w:r>
      <w:r w:rsidR="0030581A" w:rsidRPr="000A2A71">
        <w:rPr>
          <w:lang w:val="es-ES" w:eastAsia="es-ES"/>
        </w:rPr>
        <w:t xml:space="preserve"> </w:t>
      </w:r>
      <w:r w:rsidR="0030581A" w:rsidRPr="00AB231D">
        <w:rPr>
          <w:color w:val="000000"/>
          <w:lang w:val="es-ES" w:eastAsia="es-ES"/>
        </w:rPr>
        <w:t xml:space="preserve">de tratarse de los mejores </w:t>
      </w:r>
      <w:r w:rsidR="00C17DE5" w:rsidRPr="00AB231D">
        <w:rPr>
          <w:color w:val="000000"/>
          <w:lang w:val="es-ES" w:eastAsia="es-ES"/>
        </w:rPr>
        <w:t>meses</w:t>
      </w:r>
      <w:r w:rsidR="008249B7" w:rsidRPr="00AB231D">
        <w:rPr>
          <w:color w:val="000000"/>
          <w:lang w:val="es-ES" w:eastAsia="es-ES"/>
        </w:rPr>
        <w:t xml:space="preserve"> en términos estacionales, la pobreza afecta al 34,1% de la población, lo cual implica que 15,3 millones de personas son pobres. La faceta </w:t>
      </w:r>
      <w:r w:rsidR="00C17DE5" w:rsidRPr="00AB231D">
        <w:rPr>
          <w:color w:val="000000"/>
          <w:lang w:val="es-ES" w:eastAsia="es-ES"/>
        </w:rPr>
        <w:t>más</w:t>
      </w:r>
      <w:r w:rsidR="008249B7" w:rsidRPr="00AB231D">
        <w:rPr>
          <w:color w:val="000000"/>
          <w:lang w:val="es-ES" w:eastAsia="es-ES"/>
        </w:rPr>
        <w:t xml:space="preserve"> cruel, el hambre</w:t>
      </w:r>
      <w:r w:rsidR="00C17DE5" w:rsidRPr="00AB231D">
        <w:rPr>
          <w:color w:val="000000"/>
          <w:lang w:val="es-ES" w:eastAsia="es-ES"/>
        </w:rPr>
        <w:t>,</w:t>
      </w:r>
      <w:r w:rsidR="008249B7" w:rsidRPr="00AB231D">
        <w:rPr>
          <w:color w:val="000000"/>
          <w:lang w:val="es-ES" w:eastAsia="es-ES"/>
        </w:rPr>
        <w:t xml:space="preserve"> alcanza a</w:t>
      </w:r>
      <w:r w:rsidR="00C17DE5" w:rsidRPr="00AB231D">
        <w:rPr>
          <w:color w:val="000000"/>
          <w:lang w:val="es-ES" w:eastAsia="es-ES"/>
        </w:rPr>
        <w:t xml:space="preserve"> nada menos que al</w:t>
      </w:r>
      <w:r w:rsidR="008249B7" w:rsidRPr="00AB231D">
        <w:rPr>
          <w:color w:val="000000"/>
          <w:lang w:val="es-ES" w:eastAsia="es-ES"/>
        </w:rPr>
        <w:t xml:space="preserve"> 7,1% que equivale a decir que actualmente más de tres millones </w:t>
      </w:r>
      <w:r w:rsidR="003F413D" w:rsidRPr="00AB231D">
        <w:rPr>
          <w:color w:val="000000"/>
          <w:lang w:val="es-ES" w:eastAsia="es-ES"/>
        </w:rPr>
        <w:t>s</w:t>
      </w:r>
      <w:r w:rsidR="001C3E52" w:rsidRPr="00AB231D">
        <w:rPr>
          <w:color w:val="000000"/>
          <w:lang w:val="es-ES" w:eastAsia="es-ES"/>
        </w:rPr>
        <w:t>on indigentes.</w:t>
      </w:r>
      <w:r w:rsidR="001C75C0">
        <w:rPr>
          <w:color w:val="000000"/>
          <w:lang w:val="es-ES" w:eastAsia="es-ES"/>
        </w:rPr>
        <w:t xml:space="preserve"> Es decir, la primera medición del año que debiera resultar la más optimista, alcanza ya </w:t>
      </w:r>
      <w:r w:rsidR="000A2A71">
        <w:rPr>
          <w:color w:val="000000"/>
          <w:lang w:val="es-ES" w:eastAsia="es-ES"/>
        </w:rPr>
        <w:t>niveles preocupantes</w:t>
      </w:r>
      <w:r w:rsidR="001C75C0">
        <w:rPr>
          <w:color w:val="000000"/>
          <w:lang w:val="es-ES" w:eastAsia="es-ES"/>
        </w:rPr>
        <w:t>.</w:t>
      </w:r>
    </w:p>
    <w:p w:rsidR="00A43FA4" w:rsidRDefault="00A43FA4" w:rsidP="009E3B2C">
      <w:pPr>
        <w:jc w:val="both"/>
        <w:rPr>
          <w:rFonts w:ascii="Arial" w:hAnsi="Arial" w:cs="Arial"/>
          <w:b/>
          <w:bCs/>
          <w:color w:val="000000"/>
          <w:sz w:val="20"/>
          <w:szCs w:val="20"/>
          <w:lang w:val="es-ES" w:eastAsia="es-ES"/>
        </w:rPr>
      </w:pPr>
    </w:p>
    <w:p w:rsidR="00A43FA4" w:rsidRDefault="00A43FA4" w:rsidP="009E3B2C">
      <w:pPr>
        <w:jc w:val="both"/>
        <w:rPr>
          <w:rFonts w:ascii="Arial" w:hAnsi="Arial" w:cs="Arial"/>
          <w:b/>
          <w:bCs/>
          <w:color w:val="000000"/>
          <w:sz w:val="20"/>
          <w:szCs w:val="20"/>
          <w:lang w:val="es-ES" w:eastAsia="es-ES"/>
        </w:rPr>
      </w:pPr>
    </w:p>
    <w:p w:rsidR="00050862" w:rsidRPr="00C17DE5" w:rsidRDefault="00050862" w:rsidP="009E3B2C">
      <w:pPr>
        <w:jc w:val="both"/>
        <w:rPr>
          <w:rFonts w:ascii="Arial" w:hAnsi="Arial" w:cs="Arial"/>
          <w:b/>
          <w:bCs/>
          <w:color w:val="000000"/>
          <w:sz w:val="20"/>
          <w:szCs w:val="20"/>
          <w:lang w:val="es-ES" w:eastAsia="es-ES"/>
        </w:rPr>
      </w:pPr>
      <w:r w:rsidRPr="00C17DE5">
        <w:rPr>
          <w:rFonts w:ascii="Arial" w:hAnsi="Arial" w:cs="Arial"/>
          <w:b/>
          <w:bCs/>
          <w:color w:val="000000"/>
          <w:sz w:val="20"/>
          <w:szCs w:val="20"/>
          <w:lang w:val="es-ES" w:eastAsia="es-ES"/>
        </w:rPr>
        <w:t>Cuadro Nº1. Pobreza e Indigencia, en tasas y cantidad de personas. 1er Trimestre 2019 - Total Nacional</w:t>
      </w:r>
    </w:p>
    <w:p w:rsidR="00050862" w:rsidRPr="001A7AE7" w:rsidRDefault="00A40565" w:rsidP="009E3B2C">
      <w:pPr>
        <w:jc w:val="center"/>
        <w:rPr>
          <w:rFonts w:ascii="Arial" w:hAnsi="Arial" w:cs="Arial"/>
          <w:lang w:val="es-ES"/>
        </w:rPr>
      </w:pPr>
      <w:r w:rsidRPr="001A7AE7">
        <w:rPr>
          <w:rFonts w:ascii="Arial" w:hAnsi="Arial" w:cs="Arial"/>
          <w:noProof/>
          <w:lang w:eastAsia="es-AR"/>
        </w:rPr>
        <w:drawing>
          <wp:inline distT="0" distB="0" distL="0" distR="0">
            <wp:extent cx="3585845" cy="747395"/>
            <wp:effectExtent l="19050" t="0" r="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585845" cy="747395"/>
                    </a:xfrm>
                    <a:prstGeom prst="rect">
                      <a:avLst/>
                    </a:prstGeom>
                    <a:noFill/>
                    <a:ln w="9525">
                      <a:noFill/>
                      <a:miter lim="800000"/>
                      <a:headEnd/>
                      <a:tailEnd/>
                    </a:ln>
                  </pic:spPr>
                </pic:pic>
              </a:graphicData>
            </a:graphic>
          </wp:inline>
        </w:drawing>
      </w:r>
    </w:p>
    <w:p w:rsidR="009E3B2C" w:rsidRPr="00A830B4" w:rsidRDefault="009E3B2C" w:rsidP="009E3B2C">
      <w:pPr>
        <w:jc w:val="center"/>
        <w:rPr>
          <w:rFonts w:ascii="Arial" w:hAnsi="Arial" w:cs="Arial"/>
          <w:i/>
          <w:sz w:val="16"/>
          <w:szCs w:val="16"/>
          <w:lang w:val="es-ES"/>
        </w:rPr>
      </w:pPr>
      <w:r w:rsidRPr="00A830B4">
        <w:rPr>
          <w:rFonts w:ascii="Arial" w:hAnsi="Arial" w:cs="Arial"/>
          <w:i/>
          <w:sz w:val="16"/>
          <w:szCs w:val="16"/>
          <w:lang w:val="es-ES"/>
        </w:rPr>
        <w:t xml:space="preserve">*Nota: </w:t>
      </w:r>
      <w:r w:rsidR="00303BC5" w:rsidRPr="00A830B4">
        <w:rPr>
          <w:rFonts w:ascii="Arial" w:hAnsi="Arial" w:cs="Arial"/>
          <w:i/>
          <w:sz w:val="16"/>
          <w:szCs w:val="16"/>
          <w:lang w:val="es-ES"/>
        </w:rPr>
        <w:t>estimación de la població</w:t>
      </w:r>
      <w:r w:rsidR="00294BE2" w:rsidRPr="00A830B4">
        <w:rPr>
          <w:rFonts w:ascii="Arial" w:hAnsi="Arial" w:cs="Arial"/>
          <w:i/>
          <w:sz w:val="16"/>
          <w:szCs w:val="16"/>
          <w:lang w:val="es-ES"/>
        </w:rPr>
        <w:t xml:space="preserve">n total </w:t>
      </w:r>
      <w:r w:rsidR="00D2207E" w:rsidRPr="00A830B4">
        <w:rPr>
          <w:rFonts w:ascii="Arial" w:hAnsi="Arial" w:cs="Arial"/>
          <w:i/>
          <w:sz w:val="16"/>
          <w:szCs w:val="16"/>
          <w:lang w:val="es-ES"/>
        </w:rPr>
        <w:t>al primer trimestre 2019 sobre la base de las proyecciones poblacionales de</w:t>
      </w:r>
      <w:r w:rsidRPr="00A830B4">
        <w:rPr>
          <w:rFonts w:ascii="Arial" w:hAnsi="Arial" w:cs="Arial"/>
          <w:i/>
          <w:sz w:val="16"/>
          <w:szCs w:val="16"/>
          <w:lang w:val="es-ES"/>
        </w:rPr>
        <w:t>l</w:t>
      </w:r>
      <w:r w:rsidR="00D2207E" w:rsidRPr="00A830B4">
        <w:rPr>
          <w:rFonts w:ascii="Arial" w:hAnsi="Arial" w:cs="Arial"/>
          <w:i/>
          <w:sz w:val="16"/>
          <w:szCs w:val="16"/>
          <w:lang w:val="es-ES"/>
        </w:rPr>
        <w:t xml:space="preserve"> Censo Nacional</w:t>
      </w:r>
      <w:r w:rsidRPr="00A830B4">
        <w:rPr>
          <w:rFonts w:ascii="Arial" w:hAnsi="Arial" w:cs="Arial"/>
          <w:i/>
          <w:sz w:val="16"/>
          <w:szCs w:val="16"/>
          <w:lang w:val="es-ES"/>
        </w:rPr>
        <w:t xml:space="preserve"> 2010.</w:t>
      </w:r>
    </w:p>
    <w:p w:rsidR="00050862" w:rsidRPr="00A830B4" w:rsidRDefault="00050862" w:rsidP="009E3B2C">
      <w:pPr>
        <w:jc w:val="center"/>
        <w:rPr>
          <w:rFonts w:ascii="Arial" w:hAnsi="Arial" w:cs="Arial"/>
          <w:i/>
          <w:sz w:val="16"/>
          <w:szCs w:val="16"/>
          <w:lang w:val="es-ES"/>
        </w:rPr>
      </w:pPr>
      <w:r w:rsidRPr="00A830B4">
        <w:rPr>
          <w:rFonts w:ascii="Arial" w:hAnsi="Arial" w:cs="Arial"/>
          <w:b/>
          <w:sz w:val="16"/>
          <w:szCs w:val="16"/>
          <w:lang w:val="es-ES"/>
        </w:rPr>
        <w:t>Fuente</w:t>
      </w:r>
      <w:r w:rsidRPr="00A830B4">
        <w:rPr>
          <w:rFonts w:ascii="Arial" w:hAnsi="Arial" w:cs="Arial"/>
          <w:sz w:val="16"/>
          <w:szCs w:val="16"/>
          <w:lang w:val="es-ES"/>
        </w:rPr>
        <w:t>: elaboración propia en base a datos de EPH-INDEC.</w:t>
      </w:r>
    </w:p>
    <w:p w:rsidR="00050862" w:rsidRDefault="00050862" w:rsidP="009E3B2C">
      <w:pPr>
        <w:jc w:val="both"/>
        <w:rPr>
          <w:rFonts w:ascii="Arial" w:hAnsi="Arial" w:cs="Arial"/>
          <w:b/>
          <w:bCs/>
          <w:color w:val="000000"/>
          <w:sz w:val="20"/>
          <w:szCs w:val="20"/>
          <w:lang w:val="es-ES" w:eastAsia="es-ES"/>
        </w:rPr>
      </w:pPr>
    </w:p>
    <w:p w:rsidR="00165505" w:rsidRDefault="00165505" w:rsidP="009E3B2C">
      <w:pPr>
        <w:jc w:val="both"/>
        <w:rPr>
          <w:rFonts w:ascii="Arial" w:hAnsi="Arial" w:cs="Arial"/>
          <w:b/>
          <w:bCs/>
          <w:color w:val="000000"/>
          <w:sz w:val="20"/>
          <w:szCs w:val="20"/>
          <w:lang w:val="es-ES" w:eastAsia="es-ES"/>
        </w:rPr>
      </w:pPr>
    </w:p>
    <w:p w:rsidR="00165505" w:rsidRDefault="00165505" w:rsidP="009E3B2C">
      <w:pPr>
        <w:jc w:val="both"/>
        <w:rPr>
          <w:color w:val="000000"/>
          <w:lang w:val="es-ES" w:eastAsia="es-ES"/>
        </w:rPr>
      </w:pPr>
      <w:r w:rsidRPr="00AB231D">
        <w:rPr>
          <w:color w:val="000000"/>
          <w:lang w:val="es-ES" w:eastAsia="es-ES"/>
        </w:rPr>
        <w:tab/>
        <w:t xml:space="preserve">Las tasas expuestas revelan el vertiginoso proceso de empobrecimiento </w:t>
      </w:r>
      <w:r w:rsidR="005912CE" w:rsidRPr="00AB231D">
        <w:rPr>
          <w:color w:val="000000"/>
          <w:lang w:val="es-ES" w:eastAsia="es-ES"/>
        </w:rPr>
        <w:t xml:space="preserve">ocurrido principalmente durante el año 2018, en el cual se concentró el golpe distributivo de mayor relevancia </w:t>
      </w:r>
      <w:r w:rsidR="00917067" w:rsidRPr="00AB231D">
        <w:rPr>
          <w:color w:val="000000"/>
          <w:lang w:val="es-ES" w:eastAsia="es-ES"/>
        </w:rPr>
        <w:t xml:space="preserve">de los últimos años </w:t>
      </w:r>
      <w:r w:rsidR="005912CE" w:rsidRPr="00AB231D">
        <w:rPr>
          <w:color w:val="000000"/>
          <w:lang w:val="es-ES" w:eastAsia="es-ES"/>
        </w:rPr>
        <w:t xml:space="preserve">y el derrumbe social </w:t>
      </w:r>
      <w:r w:rsidR="00917067" w:rsidRPr="00AB231D">
        <w:rPr>
          <w:color w:val="000000"/>
          <w:lang w:val="es-ES" w:eastAsia="es-ES"/>
        </w:rPr>
        <w:t xml:space="preserve">a él </w:t>
      </w:r>
      <w:r w:rsidR="005912CE" w:rsidRPr="00AB231D">
        <w:rPr>
          <w:color w:val="000000"/>
          <w:lang w:val="es-ES" w:eastAsia="es-ES"/>
        </w:rPr>
        <w:t xml:space="preserve">asociado, aunque refleja </w:t>
      </w:r>
      <w:r w:rsidR="006B729F" w:rsidRPr="00AB231D">
        <w:rPr>
          <w:color w:val="000000"/>
          <w:lang w:val="es-ES" w:eastAsia="es-ES"/>
        </w:rPr>
        <w:t>también</w:t>
      </w:r>
      <w:r w:rsidR="005912CE" w:rsidRPr="00AB231D">
        <w:rPr>
          <w:color w:val="000000"/>
          <w:lang w:val="es-ES" w:eastAsia="es-ES"/>
        </w:rPr>
        <w:t xml:space="preserve">, </w:t>
      </w:r>
      <w:r w:rsidR="006B729F" w:rsidRPr="00AB231D">
        <w:rPr>
          <w:color w:val="000000"/>
          <w:lang w:val="es-ES" w:eastAsia="es-ES"/>
        </w:rPr>
        <w:t xml:space="preserve">el sostenimiento </w:t>
      </w:r>
      <w:r w:rsidR="005912CE" w:rsidRPr="00AB231D">
        <w:rPr>
          <w:color w:val="000000"/>
          <w:lang w:val="es-ES" w:eastAsia="es-ES"/>
        </w:rPr>
        <w:t xml:space="preserve">de este piso </w:t>
      </w:r>
      <w:r w:rsidR="006B729F" w:rsidRPr="00AB231D">
        <w:rPr>
          <w:color w:val="000000"/>
          <w:lang w:val="es-ES" w:eastAsia="es-ES"/>
        </w:rPr>
        <w:t>de distribución</w:t>
      </w:r>
      <w:r w:rsidR="005912CE" w:rsidRPr="00AB231D">
        <w:rPr>
          <w:color w:val="000000"/>
          <w:lang w:val="es-ES" w:eastAsia="es-ES"/>
        </w:rPr>
        <w:t xml:space="preserve"> alcanzado durante la primera parte del año 2019.</w:t>
      </w:r>
      <w:r w:rsidR="006B729F" w:rsidRPr="00AB231D">
        <w:rPr>
          <w:color w:val="000000"/>
          <w:lang w:val="es-ES" w:eastAsia="es-ES"/>
        </w:rPr>
        <w:t xml:space="preserve"> Por esta razón, observamos que la </w:t>
      </w:r>
      <w:r w:rsidR="00917067" w:rsidRPr="00AB231D">
        <w:rPr>
          <w:color w:val="000000"/>
          <w:lang w:val="es-ES" w:eastAsia="es-ES"/>
        </w:rPr>
        <w:t>velocidad</w:t>
      </w:r>
      <w:r w:rsidR="006B729F" w:rsidRPr="00AB231D">
        <w:rPr>
          <w:color w:val="000000"/>
          <w:lang w:val="es-ES" w:eastAsia="es-ES"/>
        </w:rPr>
        <w:t xml:space="preserve"> de empobrecimiento verificada durante todo el 2018 (4to trim</w:t>
      </w:r>
      <w:r w:rsidR="00087CA1">
        <w:rPr>
          <w:color w:val="000000"/>
          <w:lang w:val="es-ES" w:eastAsia="es-ES"/>
        </w:rPr>
        <w:t>estre</w:t>
      </w:r>
      <w:r w:rsidR="006B729F" w:rsidRPr="00AB231D">
        <w:rPr>
          <w:color w:val="000000"/>
          <w:lang w:val="es-ES" w:eastAsia="es-ES"/>
        </w:rPr>
        <w:t xml:space="preserve"> 2017 </w:t>
      </w:r>
      <w:r w:rsidR="00D81D7E">
        <w:rPr>
          <w:color w:val="000000"/>
          <w:lang w:val="es-ES" w:eastAsia="es-ES"/>
        </w:rPr>
        <w:t>-</w:t>
      </w:r>
      <w:r w:rsidR="006B729F" w:rsidRPr="00AB231D">
        <w:rPr>
          <w:color w:val="000000"/>
          <w:lang w:val="es-ES" w:eastAsia="es-ES"/>
        </w:rPr>
        <w:t xml:space="preserve"> 2018)</w:t>
      </w:r>
      <w:r w:rsidR="00917067" w:rsidRPr="00AB231D">
        <w:rPr>
          <w:color w:val="000000"/>
          <w:lang w:val="es-ES" w:eastAsia="es-ES"/>
        </w:rPr>
        <w:t xml:space="preserve"> de casi 10 p.p.</w:t>
      </w:r>
      <w:r w:rsidR="00296A48" w:rsidRPr="00D81D7E">
        <w:rPr>
          <w:vertAlign w:val="superscript"/>
        </w:rPr>
        <w:footnoteReference w:id="1"/>
      </w:r>
      <w:r w:rsidR="006B729F" w:rsidRPr="00AB231D">
        <w:rPr>
          <w:color w:val="000000"/>
          <w:lang w:val="es-ES" w:eastAsia="es-ES"/>
        </w:rPr>
        <w:t xml:space="preserve"> es equivalente a la verificada al evaluar el crecimiento interanual de los primeros trimestres del período 2018-2019. </w:t>
      </w:r>
      <w:r w:rsidR="00A83E8E">
        <w:rPr>
          <w:color w:val="000000"/>
          <w:lang w:val="es-ES" w:eastAsia="es-ES"/>
        </w:rPr>
        <w:t>A su vez, t</w:t>
      </w:r>
      <w:r w:rsidR="00414BC6" w:rsidRPr="00AB231D">
        <w:rPr>
          <w:color w:val="000000"/>
          <w:lang w:val="es-ES" w:eastAsia="es-ES"/>
        </w:rPr>
        <w:t>al como había</w:t>
      </w:r>
      <w:r w:rsidR="00A83E8E">
        <w:rPr>
          <w:color w:val="000000"/>
          <w:lang w:val="es-ES" w:eastAsia="es-ES"/>
        </w:rPr>
        <w:t xml:space="preserve"> sido</w:t>
      </w:r>
      <w:r w:rsidR="00414BC6" w:rsidRPr="00AB231D">
        <w:rPr>
          <w:color w:val="000000"/>
          <w:lang w:val="es-ES" w:eastAsia="es-ES"/>
        </w:rPr>
        <w:t xml:space="preserve"> reflejado </w:t>
      </w:r>
      <w:r w:rsidR="00A83E8E">
        <w:rPr>
          <w:color w:val="000000"/>
          <w:lang w:val="es-ES" w:eastAsia="es-ES"/>
        </w:rPr>
        <w:t>para el período anual d</w:t>
      </w:r>
      <w:r w:rsidR="00414BC6" w:rsidRPr="00AB231D">
        <w:rPr>
          <w:color w:val="000000"/>
          <w:lang w:val="es-ES" w:eastAsia="es-ES"/>
        </w:rPr>
        <w:t xml:space="preserve">el 2018, </w:t>
      </w:r>
      <w:r w:rsidR="00A83E8E">
        <w:rPr>
          <w:color w:val="000000"/>
          <w:lang w:val="es-ES" w:eastAsia="es-ES"/>
        </w:rPr>
        <w:t xml:space="preserve">la comparación interanual </w:t>
      </w:r>
      <w:r w:rsidR="00414BC6" w:rsidRPr="00AB231D">
        <w:rPr>
          <w:color w:val="000000"/>
          <w:lang w:val="es-ES" w:eastAsia="es-ES"/>
        </w:rPr>
        <w:t>aquí analiz</w:t>
      </w:r>
      <w:r w:rsidR="00A83E8E">
        <w:rPr>
          <w:color w:val="000000"/>
          <w:lang w:val="es-ES" w:eastAsia="es-ES"/>
        </w:rPr>
        <w:t>a</w:t>
      </w:r>
      <w:r w:rsidR="00414BC6" w:rsidRPr="00AB231D">
        <w:rPr>
          <w:color w:val="000000"/>
          <w:lang w:val="es-ES" w:eastAsia="es-ES"/>
        </w:rPr>
        <w:t>d</w:t>
      </w:r>
      <w:r w:rsidR="00A83E8E">
        <w:rPr>
          <w:color w:val="000000"/>
          <w:lang w:val="es-ES" w:eastAsia="es-ES"/>
        </w:rPr>
        <w:t>a</w:t>
      </w:r>
      <w:r w:rsidR="00414BC6" w:rsidRPr="00AB231D">
        <w:rPr>
          <w:color w:val="000000"/>
          <w:lang w:val="es-ES" w:eastAsia="es-ES"/>
        </w:rPr>
        <w:t xml:space="preserve"> también arroja </w:t>
      </w:r>
      <w:r w:rsidR="00A83E8E">
        <w:rPr>
          <w:color w:val="000000"/>
          <w:lang w:val="es-ES" w:eastAsia="es-ES"/>
        </w:rPr>
        <w:t>como</w:t>
      </w:r>
      <w:r w:rsidR="00414BC6" w:rsidRPr="00AB231D">
        <w:rPr>
          <w:color w:val="000000"/>
          <w:lang w:val="es-ES" w:eastAsia="es-ES"/>
        </w:rPr>
        <w:t xml:space="preserve"> saldo</w:t>
      </w:r>
      <w:r w:rsidR="00A83E8E">
        <w:rPr>
          <w:color w:val="000000"/>
          <w:lang w:val="es-ES" w:eastAsia="es-ES"/>
        </w:rPr>
        <w:t>,</w:t>
      </w:r>
      <w:r w:rsidR="00414BC6" w:rsidRPr="00AB231D">
        <w:rPr>
          <w:color w:val="000000"/>
          <w:lang w:val="es-ES" w:eastAsia="es-ES"/>
        </w:rPr>
        <w:t xml:space="preserve"> </w:t>
      </w:r>
      <w:r w:rsidR="00A83E8E">
        <w:rPr>
          <w:color w:val="000000"/>
          <w:lang w:val="es-ES" w:eastAsia="es-ES"/>
        </w:rPr>
        <w:t>un</w:t>
      </w:r>
      <w:r w:rsidR="00414BC6" w:rsidRPr="00AB231D">
        <w:rPr>
          <w:color w:val="000000"/>
          <w:lang w:val="es-ES" w:eastAsia="es-ES"/>
        </w:rPr>
        <w:t xml:space="preserve"> aumento de la indigencia aún más importante que el registrado en la pobreza.</w:t>
      </w:r>
      <w:r w:rsidR="00A83E8E">
        <w:rPr>
          <w:color w:val="000000"/>
          <w:lang w:val="es-ES" w:eastAsia="es-ES"/>
        </w:rPr>
        <w:t xml:space="preserve"> En el último año, la cantidad de personas que pasan hambre subió en un millón, es decir, la tasa respectiva subió 2,2 p.p. pero en términos porcentuales ello implicó un aumento del 46,4% de la tasa.</w:t>
      </w:r>
    </w:p>
    <w:p w:rsidR="00087CA1" w:rsidRDefault="00087CA1" w:rsidP="009E3B2C">
      <w:pPr>
        <w:jc w:val="both"/>
        <w:rPr>
          <w:color w:val="000000"/>
          <w:lang w:val="es-ES" w:eastAsia="es-ES"/>
        </w:rPr>
      </w:pPr>
    </w:p>
    <w:p w:rsidR="00486AC3" w:rsidRDefault="00087CA1" w:rsidP="009E3B2C">
      <w:pPr>
        <w:jc w:val="both"/>
        <w:rPr>
          <w:color w:val="000000"/>
          <w:lang w:val="es-ES" w:eastAsia="es-ES"/>
        </w:rPr>
      </w:pPr>
      <w:r>
        <w:rPr>
          <w:color w:val="000000"/>
          <w:lang w:val="es-ES" w:eastAsia="es-ES"/>
        </w:rPr>
        <w:tab/>
      </w:r>
      <w:r w:rsidR="00883CD0">
        <w:rPr>
          <w:color w:val="000000"/>
          <w:lang w:val="es-ES" w:eastAsia="es-ES"/>
        </w:rPr>
        <w:t xml:space="preserve">Para </w:t>
      </w:r>
      <w:r w:rsidR="00486AC3">
        <w:rPr>
          <w:color w:val="000000"/>
          <w:lang w:val="es-ES" w:eastAsia="es-ES"/>
        </w:rPr>
        <w:t>tomar dimensión de</w:t>
      </w:r>
      <w:r w:rsidR="00883CD0">
        <w:rPr>
          <w:color w:val="000000"/>
          <w:lang w:val="es-ES" w:eastAsia="es-ES"/>
        </w:rPr>
        <w:t xml:space="preserve"> la escala que asum</w:t>
      </w:r>
      <w:r w:rsidR="00486AC3">
        <w:rPr>
          <w:color w:val="000000"/>
          <w:lang w:val="es-ES" w:eastAsia="es-ES"/>
        </w:rPr>
        <w:t>ió</w:t>
      </w:r>
      <w:r w:rsidR="00883CD0">
        <w:rPr>
          <w:color w:val="000000"/>
          <w:lang w:val="es-ES" w:eastAsia="es-ES"/>
        </w:rPr>
        <w:t xml:space="preserve"> el empobrecimiento de los últimos doce meses, </w:t>
      </w:r>
      <w:r w:rsidR="00BD3251">
        <w:rPr>
          <w:color w:val="000000"/>
          <w:lang w:val="es-ES" w:eastAsia="es-ES"/>
        </w:rPr>
        <w:t xml:space="preserve">podemos afirmar que el aumento de la población supera en 9 veces el crecimiento demográfico, es decir, por cada niño que nace hay nueve personas que pasan a la pobreza. </w:t>
      </w:r>
      <w:r w:rsidR="00486AC3">
        <w:rPr>
          <w:color w:val="000000"/>
          <w:lang w:val="es-ES" w:eastAsia="es-ES"/>
        </w:rPr>
        <w:t xml:space="preserve">Para ofrecer otras medidas, diremos que por cada día que transcurre, en nuestro país se suman 10.885 pobres y 2.831 indigentes lo que </w:t>
      </w:r>
      <w:r w:rsidR="00C85DE9">
        <w:rPr>
          <w:color w:val="000000"/>
          <w:lang w:val="es-ES" w:eastAsia="es-ES"/>
        </w:rPr>
        <w:t>equivale a decir</w:t>
      </w:r>
      <w:r w:rsidR="00486AC3">
        <w:rPr>
          <w:color w:val="000000"/>
          <w:lang w:val="es-ES" w:eastAsia="es-ES"/>
        </w:rPr>
        <w:t xml:space="preserve"> que</w:t>
      </w:r>
      <w:r w:rsidR="00C85DE9">
        <w:rPr>
          <w:color w:val="000000"/>
          <w:lang w:val="es-ES" w:eastAsia="es-ES"/>
        </w:rPr>
        <w:t>,</w:t>
      </w:r>
      <w:r w:rsidR="00486AC3">
        <w:rPr>
          <w:color w:val="000000"/>
          <w:lang w:val="es-ES" w:eastAsia="es-ES"/>
        </w:rPr>
        <w:t xml:space="preserve"> cada hora </w:t>
      </w:r>
      <w:r w:rsidR="00C85DE9">
        <w:rPr>
          <w:color w:val="000000"/>
          <w:lang w:val="es-ES" w:eastAsia="es-ES"/>
        </w:rPr>
        <w:t>arroja a la pobreza a 454 personas y a la indigencia a 118 y por minuto, son ocho pobres más y dos indigentes más.</w:t>
      </w:r>
      <w:r w:rsidR="00397CA3">
        <w:rPr>
          <w:color w:val="000000"/>
          <w:lang w:val="es-ES" w:eastAsia="es-ES"/>
        </w:rPr>
        <w:t xml:space="preserve"> </w:t>
      </w:r>
    </w:p>
    <w:p w:rsidR="00486AC3" w:rsidRDefault="00486AC3" w:rsidP="009E3B2C">
      <w:pPr>
        <w:jc w:val="both"/>
        <w:rPr>
          <w:color w:val="000000"/>
          <w:lang w:val="es-ES" w:eastAsia="es-ES"/>
        </w:rPr>
      </w:pPr>
    </w:p>
    <w:p w:rsidR="00E633B9" w:rsidRDefault="00E633B9" w:rsidP="009E3B2C">
      <w:pPr>
        <w:jc w:val="both"/>
        <w:rPr>
          <w:color w:val="000000"/>
          <w:lang w:val="es-ES" w:eastAsia="es-ES"/>
        </w:rPr>
      </w:pPr>
    </w:p>
    <w:p w:rsidR="00BF3442" w:rsidRPr="00102B93" w:rsidRDefault="00BF3442" w:rsidP="00BF3442">
      <w:pPr>
        <w:jc w:val="both"/>
        <w:rPr>
          <w:rFonts w:ascii="Arial" w:hAnsi="Arial" w:cs="Arial"/>
          <w:b/>
          <w:bCs/>
          <w:color w:val="000000"/>
          <w:sz w:val="20"/>
          <w:szCs w:val="20"/>
          <w:lang w:val="es-ES" w:eastAsia="es-ES"/>
        </w:rPr>
      </w:pPr>
      <w:r w:rsidRPr="00102B93">
        <w:rPr>
          <w:rFonts w:ascii="Arial" w:hAnsi="Arial" w:cs="Arial"/>
          <w:b/>
          <w:bCs/>
          <w:color w:val="000000"/>
          <w:sz w:val="20"/>
          <w:szCs w:val="20"/>
          <w:lang w:val="es-ES" w:eastAsia="es-ES"/>
        </w:rPr>
        <w:t>Cuadro N</w:t>
      </w:r>
      <w:r>
        <w:rPr>
          <w:rFonts w:ascii="Arial" w:hAnsi="Arial" w:cs="Arial"/>
          <w:b/>
          <w:bCs/>
          <w:color w:val="000000"/>
          <w:sz w:val="20"/>
          <w:szCs w:val="20"/>
          <w:lang w:val="es-ES" w:eastAsia="es-ES"/>
        </w:rPr>
        <w:t xml:space="preserve"> </w:t>
      </w:r>
      <w:r w:rsidRPr="00102B93">
        <w:rPr>
          <w:rFonts w:ascii="Arial" w:hAnsi="Arial" w:cs="Arial"/>
          <w:b/>
          <w:bCs/>
          <w:color w:val="000000"/>
          <w:sz w:val="20"/>
          <w:szCs w:val="20"/>
          <w:lang w:val="es-ES" w:eastAsia="es-ES"/>
        </w:rPr>
        <w:t>º</w:t>
      </w:r>
      <w:r>
        <w:rPr>
          <w:rFonts w:ascii="Arial" w:hAnsi="Arial" w:cs="Arial"/>
          <w:b/>
          <w:bCs/>
          <w:color w:val="000000"/>
          <w:sz w:val="20"/>
          <w:szCs w:val="20"/>
          <w:lang w:val="es-ES" w:eastAsia="es-ES"/>
        </w:rPr>
        <w:t xml:space="preserve"> 2</w:t>
      </w:r>
      <w:r w:rsidRPr="00102B93">
        <w:rPr>
          <w:rFonts w:ascii="Arial" w:hAnsi="Arial" w:cs="Arial"/>
          <w:b/>
          <w:bCs/>
          <w:color w:val="000000"/>
          <w:sz w:val="20"/>
          <w:szCs w:val="20"/>
          <w:lang w:val="es-ES" w:eastAsia="es-ES"/>
        </w:rPr>
        <w:t xml:space="preserve"> Variación interanual pobreza e Indigencia, en tasas y cantidad de personas. </w:t>
      </w:r>
    </w:p>
    <w:p w:rsidR="00BF3442" w:rsidRPr="00102B93" w:rsidRDefault="00BF3442" w:rsidP="00BF3442">
      <w:pPr>
        <w:jc w:val="both"/>
        <w:rPr>
          <w:rFonts w:ascii="Arial" w:hAnsi="Arial" w:cs="Arial"/>
          <w:b/>
          <w:bCs/>
          <w:color w:val="000000"/>
          <w:sz w:val="20"/>
          <w:szCs w:val="20"/>
          <w:lang w:val="es-ES" w:eastAsia="es-ES"/>
        </w:rPr>
      </w:pPr>
      <w:r w:rsidRPr="00102B93">
        <w:rPr>
          <w:rFonts w:ascii="Arial" w:hAnsi="Arial" w:cs="Arial"/>
          <w:b/>
          <w:bCs/>
          <w:color w:val="000000"/>
          <w:sz w:val="20"/>
          <w:szCs w:val="20"/>
          <w:lang w:val="es-ES" w:eastAsia="es-ES"/>
        </w:rPr>
        <w:t xml:space="preserve">1er </w:t>
      </w:r>
      <w:proofErr w:type="spellStart"/>
      <w:r w:rsidRPr="00102B93">
        <w:rPr>
          <w:rFonts w:ascii="Arial" w:hAnsi="Arial" w:cs="Arial"/>
          <w:b/>
          <w:bCs/>
          <w:color w:val="000000"/>
          <w:sz w:val="20"/>
          <w:szCs w:val="20"/>
          <w:lang w:val="es-ES" w:eastAsia="es-ES"/>
        </w:rPr>
        <w:t>Trim</w:t>
      </w:r>
      <w:proofErr w:type="spellEnd"/>
      <w:r w:rsidRPr="00102B93">
        <w:rPr>
          <w:rFonts w:ascii="Arial" w:hAnsi="Arial" w:cs="Arial"/>
          <w:b/>
          <w:bCs/>
          <w:color w:val="000000"/>
          <w:sz w:val="20"/>
          <w:szCs w:val="20"/>
          <w:lang w:val="es-ES" w:eastAsia="es-ES"/>
        </w:rPr>
        <w:t xml:space="preserve">. 2018 vs. 1er </w:t>
      </w:r>
      <w:proofErr w:type="spellStart"/>
      <w:r w:rsidRPr="00102B93">
        <w:rPr>
          <w:rFonts w:ascii="Arial" w:hAnsi="Arial" w:cs="Arial"/>
          <w:b/>
          <w:bCs/>
          <w:color w:val="000000"/>
          <w:sz w:val="20"/>
          <w:szCs w:val="20"/>
          <w:lang w:val="es-ES" w:eastAsia="es-ES"/>
        </w:rPr>
        <w:t>Trim</w:t>
      </w:r>
      <w:proofErr w:type="spellEnd"/>
      <w:r w:rsidRPr="00102B93">
        <w:rPr>
          <w:rFonts w:ascii="Arial" w:hAnsi="Arial" w:cs="Arial"/>
          <w:b/>
          <w:bCs/>
          <w:color w:val="000000"/>
          <w:sz w:val="20"/>
          <w:szCs w:val="20"/>
          <w:lang w:val="es-ES" w:eastAsia="es-ES"/>
        </w:rPr>
        <w:t>. 2019. Total Nacional.</w:t>
      </w:r>
    </w:p>
    <w:p w:rsidR="00BF3442" w:rsidRPr="001A7AE7" w:rsidRDefault="00BF3442" w:rsidP="00BF3442">
      <w:pPr>
        <w:jc w:val="center"/>
        <w:rPr>
          <w:rFonts w:ascii="Arial" w:hAnsi="Arial" w:cs="Arial"/>
          <w:sz w:val="18"/>
          <w:lang w:val="es-ES"/>
        </w:rPr>
      </w:pPr>
      <w:r w:rsidRPr="001A7AE7">
        <w:rPr>
          <w:rFonts w:ascii="Arial" w:hAnsi="Arial" w:cs="Arial"/>
          <w:noProof/>
          <w:lang w:eastAsia="es-AR"/>
        </w:rPr>
        <w:drawing>
          <wp:inline distT="0" distB="0" distL="0" distR="0">
            <wp:extent cx="5472000" cy="822552"/>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472000" cy="822552"/>
                    </a:xfrm>
                    <a:prstGeom prst="rect">
                      <a:avLst/>
                    </a:prstGeom>
                    <a:noFill/>
                    <a:ln w="9525">
                      <a:noFill/>
                      <a:miter lim="800000"/>
                      <a:headEnd/>
                      <a:tailEnd/>
                    </a:ln>
                  </pic:spPr>
                </pic:pic>
              </a:graphicData>
            </a:graphic>
          </wp:inline>
        </w:drawing>
      </w:r>
      <w:r w:rsidRPr="001A7AE7">
        <w:rPr>
          <w:rFonts w:ascii="Arial" w:hAnsi="Arial" w:cs="Arial"/>
          <w:b/>
          <w:sz w:val="18"/>
          <w:lang w:val="es-ES"/>
        </w:rPr>
        <w:t>Fuente</w:t>
      </w:r>
      <w:r w:rsidRPr="001A7AE7">
        <w:rPr>
          <w:rFonts w:ascii="Arial" w:hAnsi="Arial" w:cs="Arial"/>
          <w:sz w:val="18"/>
          <w:lang w:val="es-ES"/>
        </w:rPr>
        <w:t>: elaboración propia en base a datos de EPH-INDEC.</w:t>
      </w:r>
    </w:p>
    <w:p w:rsidR="00BF3442" w:rsidRPr="001A7AE7" w:rsidRDefault="00BF3442" w:rsidP="00BF3442">
      <w:pPr>
        <w:jc w:val="both"/>
        <w:rPr>
          <w:rFonts w:ascii="Arial" w:hAnsi="Arial" w:cs="Arial"/>
          <w:b/>
          <w:bCs/>
          <w:color w:val="000000"/>
          <w:sz w:val="20"/>
          <w:szCs w:val="20"/>
          <w:lang w:val="es-ES" w:eastAsia="es-ES"/>
        </w:rPr>
      </w:pPr>
    </w:p>
    <w:p w:rsidR="00BF3442" w:rsidRDefault="00BF3442" w:rsidP="009E3B2C">
      <w:pPr>
        <w:jc w:val="both"/>
        <w:rPr>
          <w:color w:val="000000"/>
          <w:lang w:val="es-ES" w:eastAsia="es-ES"/>
        </w:rPr>
      </w:pPr>
    </w:p>
    <w:p w:rsidR="00573103" w:rsidRDefault="00C85DE9" w:rsidP="009E3B2C">
      <w:pPr>
        <w:jc w:val="both"/>
        <w:rPr>
          <w:color w:val="000000"/>
          <w:lang w:val="es-ES" w:eastAsia="es-ES"/>
        </w:rPr>
      </w:pPr>
      <w:r>
        <w:rPr>
          <w:rFonts w:ascii="Arial" w:hAnsi="Arial" w:cs="Arial"/>
          <w:color w:val="000000"/>
          <w:sz w:val="20"/>
          <w:szCs w:val="20"/>
          <w:lang w:val="es-ES" w:eastAsia="es-ES"/>
        </w:rPr>
        <w:tab/>
      </w:r>
      <w:r w:rsidR="009164CF" w:rsidRPr="009164CF">
        <w:rPr>
          <w:color w:val="000000"/>
          <w:lang w:val="es-ES" w:eastAsia="es-ES"/>
        </w:rPr>
        <w:t>Como lo hemos resaltado con anterioridad</w:t>
      </w:r>
      <w:r w:rsidR="00635360">
        <w:rPr>
          <w:color w:val="000000"/>
          <w:lang w:val="es-ES" w:eastAsia="es-ES"/>
        </w:rPr>
        <w:t xml:space="preserve">, el derrumbe social fue el efecto del shock devaluatorio </w:t>
      </w:r>
      <w:r w:rsidR="004030ED">
        <w:rPr>
          <w:color w:val="000000"/>
          <w:lang w:val="es-ES" w:eastAsia="es-ES"/>
        </w:rPr>
        <w:t xml:space="preserve">que tuvo lugar especialmente </w:t>
      </w:r>
      <w:r w:rsidR="00E50F97">
        <w:rPr>
          <w:color w:val="000000"/>
          <w:lang w:val="es-ES" w:eastAsia="es-ES"/>
        </w:rPr>
        <w:t>durante el año pasado cuando el valor del dólar prácticamente se duplic</w:t>
      </w:r>
      <w:r w:rsidR="008763EF">
        <w:rPr>
          <w:color w:val="000000"/>
          <w:lang w:val="es-ES" w:eastAsia="es-ES"/>
        </w:rPr>
        <w:t>ó. Lejos de detenerse, el</w:t>
      </w:r>
      <w:r w:rsidR="00E50F97">
        <w:rPr>
          <w:color w:val="000000"/>
          <w:lang w:val="es-ES" w:eastAsia="es-ES"/>
        </w:rPr>
        <w:t xml:space="preserve"> sendero</w:t>
      </w:r>
      <w:r w:rsidR="008763EF">
        <w:rPr>
          <w:color w:val="000000"/>
          <w:lang w:val="es-ES" w:eastAsia="es-ES"/>
        </w:rPr>
        <w:t xml:space="preserve"> devaluatorio</w:t>
      </w:r>
      <w:r w:rsidR="00747FE4">
        <w:rPr>
          <w:color w:val="000000"/>
          <w:lang w:val="es-ES" w:eastAsia="es-ES"/>
        </w:rPr>
        <w:t xml:space="preserve">, aunque a un menor ritmo, </w:t>
      </w:r>
      <w:r w:rsidR="00CC0983">
        <w:rPr>
          <w:color w:val="000000"/>
          <w:lang w:val="es-ES" w:eastAsia="es-ES"/>
        </w:rPr>
        <w:t xml:space="preserve">se sostuvo </w:t>
      </w:r>
      <w:r w:rsidR="00747FE4">
        <w:rPr>
          <w:color w:val="000000"/>
          <w:lang w:val="es-ES" w:eastAsia="es-ES"/>
        </w:rPr>
        <w:t>firme</w:t>
      </w:r>
      <w:r w:rsidR="00E50F97">
        <w:rPr>
          <w:color w:val="000000"/>
          <w:lang w:val="es-ES" w:eastAsia="es-ES"/>
        </w:rPr>
        <w:t xml:space="preserve"> durante el primer trimestre </w:t>
      </w:r>
      <w:r w:rsidR="00CC0983">
        <w:rPr>
          <w:color w:val="000000"/>
          <w:lang w:val="es-ES" w:eastAsia="es-ES"/>
        </w:rPr>
        <w:t xml:space="preserve">y el tipo de cambio trepó de $37,8 a $41,3. El impacto en los precios </w:t>
      </w:r>
      <w:r w:rsidR="0023242C">
        <w:rPr>
          <w:color w:val="000000"/>
          <w:lang w:val="es-ES" w:eastAsia="es-ES"/>
        </w:rPr>
        <w:t>fue inmedia</w:t>
      </w:r>
      <w:r w:rsidR="003C077D">
        <w:rPr>
          <w:color w:val="000000"/>
          <w:lang w:val="es-ES" w:eastAsia="es-ES"/>
        </w:rPr>
        <w:t>to</w:t>
      </w:r>
      <w:r w:rsidR="005F4603">
        <w:rPr>
          <w:color w:val="000000"/>
          <w:lang w:val="es-ES" w:eastAsia="es-ES"/>
        </w:rPr>
        <w:t xml:space="preserve"> y de relevancia: mientras el año calendario del 2018 culminó </w:t>
      </w:r>
      <w:r w:rsidR="00C4639C">
        <w:rPr>
          <w:color w:val="000000"/>
          <w:lang w:val="es-ES" w:eastAsia="es-ES"/>
        </w:rPr>
        <w:t xml:space="preserve">con una tasa del 47,1%, la inflación interanual del nivel general de precios a marzo del 2019 ascendió a 54,1% mientras para el rubro de alimento y bebidas fue </w:t>
      </w:r>
      <w:r w:rsidR="00A948AC">
        <w:rPr>
          <w:color w:val="000000"/>
          <w:lang w:val="es-ES" w:eastAsia="es-ES"/>
        </w:rPr>
        <w:t xml:space="preserve">aún mayor, </w:t>
      </w:r>
      <w:r w:rsidR="00C4639C">
        <w:rPr>
          <w:color w:val="000000"/>
          <w:lang w:val="es-ES" w:eastAsia="es-ES"/>
        </w:rPr>
        <w:t xml:space="preserve">del 62,7%. </w:t>
      </w:r>
      <w:r w:rsidR="00A948AC">
        <w:rPr>
          <w:color w:val="000000"/>
          <w:lang w:val="es-ES" w:eastAsia="es-ES"/>
        </w:rPr>
        <w:t>De esta manera, el objetivo de la política económica oficial logró consumarse por medio de un fuerte</w:t>
      </w:r>
      <w:r w:rsidR="003C077D">
        <w:rPr>
          <w:color w:val="000000"/>
          <w:lang w:val="es-ES" w:eastAsia="es-ES"/>
        </w:rPr>
        <w:t xml:space="preserve"> </w:t>
      </w:r>
      <w:r w:rsidR="0023242C">
        <w:rPr>
          <w:color w:val="000000"/>
          <w:lang w:val="es-ES" w:eastAsia="es-ES"/>
        </w:rPr>
        <w:t>deterio</w:t>
      </w:r>
      <w:r w:rsidR="003C077D">
        <w:rPr>
          <w:color w:val="000000"/>
          <w:lang w:val="es-ES" w:eastAsia="es-ES"/>
        </w:rPr>
        <w:t>ro</w:t>
      </w:r>
      <w:r w:rsidR="0023242C">
        <w:rPr>
          <w:color w:val="000000"/>
          <w:lang w:val="es-ES" w:eastAsia="es-ES"/>
        </w:rPr>
        <w:t xml:space="preserve"> del salario real</w:t>
      </w:r>
      <w:r w:rsidR="00892393">
        <w:rPr>
          <w:color w:val="000000"/>
          <w:lang w:val="es-ES" w:eastAsia="es-ES"/>
        </w:rPr>
        <w:t xml:space="preserve">, </w:t>
      </w:r>
      <w:r w:rsidR="00A948AC">
        <w:rPr>
          <w:color w:val="000000"/>
          <w:lang w:val="es-ES" w:eastAsia="es-ES"/>
        </w:rPr>
        <w:t xml:space="preserve">del conjunto de </w:t>
      </w:r>
      <w:r w:rsidR="00892393">
        <w:rPr>
          <w:color w:val="000000"/>
          <w:lang w:val="es-ES" w:eastAsia="es-ES"/>
        </w:rPr>
        <w:t xml:space="preserve">prestaciones sociales y </w:t>
      </w:r>
      <w:r w:rsidR="00A948AC">
        <w:rPr>
          <w:color w:val="000000"/>
          <w:lang w:val="es-ES" w:eastAsia="es-ES"/>
        </w:rPr>
        <w:t>d</w:t>
      </w:r>
      <w:r w:rsidR="00892393">
        <w:rPr>
          <w:color w:val="000000"/>
          <w:lang w:val="es-ES" w:eastAsia="es-ES"/>
        </w:rPr>
        <w:t xml:space="preserve">el resto de conceptos de ingresos de </w:t>
      </w:r>
      <w:r w:rsidR="003C077D">
        <w:rPr>
          <w:color w:val="000000"/>
          <w:lang w:val="es-ES" w:eastAsia="es-ES"/>
        </w:rPr>
        <w:t>sectores populares</w:t>
      </w:r>
      <w:r w:rsidR="00A948AC">
        <w:rPr>
          <w:color w:val="000000"/>
          <w:lang w:val="es-ES" w:eastAsia="es-ES"/>
        </w:rPr>
        <w:t>.</w:t>
      </w:r>
      <w:r w:rsidR="00CE4E76">
        <w:rPr>
          <w:color w:val="000000"/>
          <w:lang w:val="es-ES" w:eastAsia="es-ES"/>
        </w:rPr>
        <w:t xml:space="preserve"> </w:t>
      </w:r>
    </w:p>
    <w:p w:rsidR="007879DC" w:rsidRDefault="007879DC" w:rsidP="009E3B2C">
      <w:pPr>
        <w:jc w:val="both"/>
        <w:rPr>
          <w:color w:val="000000"/>
          <w:lang w:val="es-ES" w:eastAsia="es-ES"/>
        </w:rPr>
      </w:pPr>
    </w:p>
    <w:p w:rsidR="00BE5F20" w:rsidRDefault="008A61E2" w:rsidP="009E3B2C">
      <w:pPr>
        <w:jc w:val="both"/>
        <w:rPr>
          <w:color w:val="000000"/>
          <w:lang w:val="es-ES" w:eastAsia="es-ES"/>
        </w:rPr>
      </w:pPr>
      <w:r>
        <w:rPr>
          <w:color w:val="000000"/>
          <w:lang w:val="es-ES" w:eastAsia="es-ES"/>
        </w:rPr>
        <w:tab/>
      </w:r>
      <w:r w:rsidR="00BD3892">
        <w:rPr>
          <w:color w:val="000000"/>
          <w:lang w:val="es-ES" w:eastAsia="es-ES"/>
        </w:rPr>
        <w:t>La devaluación, que en vísperas de las elecciones generales se la ubica como una preocupación de índole electoralista por su capacidad de incidir en el humor de l</w:t>
      </w:r>
      <w:r w:rsidR="0077632E">
        <w:rPr>
          <w:color w:val="000000"/>
          <w:lang w:val="es-ES" w:eastAsia="es-ES"/>
        </w:rPr>
        <w:t>a</w:t>
      </w:r>
      <w:r w:rsidR="00BD3892">
        <w:rPr>
          <w:color w:val="000000"/>
          <w:lang w:val="es-ES" w:eastAsia="es-ES"/>
        </w:rPr>
        <w:t xml:space="preserve"> </w:t>
      </w:r>
      <w:r w:rsidR="0077632E">
        <w:rPr>
          <w:color w:val="000000"/>
          <w:lang w:val="es-ES" w:eastAsia="es-ES"/>
        </w:rPr>
        <w:t>población</w:t>
      </w:r>
      <w:r w:rsidR="00BD3892">
        <w:rPr>
          <w:color w:val="000000"/>
          <w:lang w:val="es-ES" w:eastAsia="es-ES"/>
        </w:rPr>
        <w:t xml:space="preserve">, es en realidad un mecanismo </w:t>
      </w:r>
      <w:r w:rsidR="00EA6D82">
        <w:rPr>
          <w:color w:val="000000"/>
          <w:lang w:val="es-ES" w:eastAsia="es-ES"/>
        </w:rPr>
        <w:t>brutal de transferencia de ingresos desde los trabajadores hacia el oligopolio exportador, más precisamente. Si bien esta situación es conocida, en tiempos electorales suele ser soslayado</w:t>
      </w:r>
      <w:r w:rsidR="00144A43">
        <w:rPr>
          <w:color w:val="000000"/>
          <w:lang w:val="es-ES" w:eastAsia="es-ES"/>
        </w:rPr>
        <w:t xml:space="preserve"> y por esta razón, en oportunidad a</w:t>
      </w:r>
      <w:r w:rsidR="0077632E">
        <w:rPr>
          <w:color w:val="000000"/>
          <w:lang w:val="es-ES" w:eastAsia="es-ES"/>
        </w:rPr>
        <w:t xml:space="preserve"> esta presentación del primer</w:t>
      </w:r>
      <w:r w:rsidR="00144A43">
        <w:rPr>
          <w:color w:val="000000"/>
          <w:lang w:val="es-ES" w:eastAsia="es-ES"/>
        </w:rPr>
        <w:t xml:space="preserve"> indicador de pobreza </w:t>
      </w:r>
      <w:r w:rsidR="0077632E">
        <w:rPr>
          <w:color w:val="000000"/>
          <w:lang w:val="es-ES" w:eastAsia="es-ES"/>
        </w:rPr>
        <w:t>del 2019</w:t>
      </w:r>
      <w:r w:rsidR="00144A43">
        <w:rPr>
          <w:color w:val="000000"/>
          <w:lang w:val="es-ES" w:eastAsia="es-ES"/>
        </w:rPr>
        <w:t>,</w:t>
      </w:r>
      <w:r w:rsidR="0077632E">
        <w:rPr>
          <w:color w:val="000000"/>
          <w:lang w:val="es-ES" w:eastAsia="es-ES"/>
        </w:rPr>
        <w:t xml:space="preserve"> recordemos la magnitud del volumen de utilidades que</w:t>
      </w:r>
      <w:r w:rsidR="00DC562A">
        <w:rPr>
          <w:color w:val="000000"/>
          <w:lang w:val="es-ES" w:eastAsia="es-ES"/>
        </w:rPr>
        <w:t>, tras</w:t>
      </w:r>
      <w:r w:rsidR="0077632E">
        <w:rPr>
          <w:color w:val="000000"/>
          <w:lang w:val="es-ES" w:eastAsia="es-ES"/>
        </w:rPr>
        <w:t xml:space="preserve"> el salto del tipo de cambio</w:t>
      </w:r>
      <w:r w:rsidR="00DC562A">
        <w:rPr>
          <w:color w:val="000000"/>
          <w:lang w:val="es-ES" w:eastAsia="es-ES"/>
        </w:rPr>
        <w:t>,</w:t>
      </w:r>
      <w:r w:rsidR="0077632E">
        <w:rPr>
          <w:color w:val="000000"/>
          <w:lang w:val="es-ES" w:eastAsia="es-ES"/>
        </w:rPr>
        <w:t xml:space="preserve"> apropia</w:t>
      </w:r>
      <w:r w:rsidR="00DC562A">
        <w:rPr>
          <w:color w:val="000000"/>
          <w:lang w:val="es-ES" w:eastAsia="es-ES"/>
        </w:rPr>
        <w:t>ron</w:t>
      </w:r>
      <w:r w:rsidR="0077632E">
        <w:rPr>
          <w:color w:val="000000"/>
          <w:lang w:val="es-ES" w:eastAsia="es-ES"/>
        </w:rPr>
        <w:t xml:space="preserve"> las 100 exportadoras más grandes de la Argentina</w:t>
      </w:r>
      <w:r w:rsidR="00BE5F20">
        <w:rPr>
          <w:color w:val="000000"/>
          <w:lang w:val="es-ES" w:eastAsia="es-ES"/>
        </w:rPr>
        <w:t>,</w:t>
      </w:r>
      <w:r w:rsidR="0077632E">
        <w:rPr>
          <w:color w:val="000000"/>
          <w:lang w:val="es-ES" w:eastAsia="es-ES"/>
        </w:rPr>
        <w:t xml:space="preserve"> dedicadas mayoritariamente a la exportación de productos primarios o manufacturas agropecuarias. Sobre la base de</w:t>
      </w:r>
      <w:r w:rsidR="00FA05F3">
        <w:rPr>
          <w:color w:val="000000"/>
          <w:lang w:val="es-ES" w:eastAsia="es-ES"/>
        </w:rPr>
        <w:t xml:space="preserve"> </w:t>
      </w:r>
      <w:r w:rsidR="0077632E">
        <w:rPr>
          <w:color w:val="000000"/>
          <w:lang w:val="es-ES" w:eastAsia="es-ES"/>
        </w:rPr>
        <w:t>la revista Prensa Económica se verifica que la centena de firmas exportadoras expandieron sus exportaciones en el último año en U$S 1.030 millones</w:t>
      </w:r>
      <w:r w:rsidR="00BE5F20">
        <w:rPr>
          <w:color w:val="000000"/>
          <w:lang w:val="es-ES" w:eastAsia="es-ES"/>
        </w:rPr>
        <w:t>, que en pesos significó $</w:t>
      </w:r>
      <w:r w:rsidR="0077632E">
        <w:rPr>
          <w:color w:val="000000"/>
          <w:lang w:val="es-ES" w:eastAsia="es-ES"/>
        </w:rPr>
        <w:t>780.801 millones</w:t>
      </w:r>
      <w:r w:rsidR="00BE5F20">
        <w:rPr>
          <w:color w:val="000000"/>
          <w:lang w:val="es-ES" w:eastAsia="es-ES"/>
        </w:rPr>
        <w:t xml:space="preserve"> más de los cuales $761.472 tuvieron origen tan sólo por el salto cambiario ¿qué significa esto? Que, si consideramos la contracara de esa ganancia, la pobreza, se verifica </w:t>
      </w:r>
      <w:r w:rsidR="000A2A71">
        <w:rPr>
          <w:color w:val="000000"/>
          <w:lang w:val="es-ES" w:eastAsia="es-ES"/>
        </w:rPr>
        <w:t>que,</w:t>
      </w:r>
      <w:r w:rsidR="00BE5F20">
        <w:rPr>
          <w:color w:val="000000"/>
          <w:lang w:val="es-ES" w:eastAsia="es-ES"/>
        </w:rPr>
        <w:t xml:space="preserve"> en términos reales, las exportadoras se llevaron</w:t>
      </w:r>
      <w:r w:rsidR="000E7F79">
        <w:rPr>
          <w:color w:val="000000"/>
          <w:lang w:val="es-ES" w:eastAsia="es-ES"/>
        </w:rPr>
        <w:t xml:space="preserve"> el equivalente</w:t>
      </w:r>
      <w:r w:rsidR="00BE5F20">
        <w:rPr>
          <w:color w:val="000000"/>
          <w:lang w:val="es-ES" w:eastAsia="es-ES"/>
        </w:rPr>
        <w:t xml:space="preserve"> 2.207.095 de</w:t>
      </w:r>
      <w:r w:rsidR="000E7F79">
        <w:rPr>
          <w:color w:val="000000"/>
          <w:lang w:val="es-ES" w:eastAsia="es-ES"/>
        </w:rPr>
        <w:t xml:space="preserve"> canastas familiares</w:t>
      </w:r>
      <w:r w:rsidR="00BE5F20">
        <w:rPr>
          <w:color w:val="000000"/>
          <w:lang w:val="es-ES" w:eastAsia="es-ES"/>
        </w:rPr>
        <w:t>.</w:t>
      </w:r>
      <w:r w:rsidR="005C7AC9">
        <w:rPr>
          <w:color w:val="000000"/>
          <w:lang w:val="es-ES" w:eastAsia="es-ES"/>
        </w:rPr>
        <w:t xml:space="preserve"> </w:t>
      </w:r>
    </w:p>
    <w:p w:rsidR="00BE5F20" w:rsidRDefault="00BE5F20" w:rsidP="009E3B2C">
      <w:pPr>
        <w:jc w:val="both"/>
        <w:rPr>
          <w:color w:val="000000"/>
          <w:lang w:val="es-ES" w:eastAsia="es-ES"/>
        </w:rPr>
      </w:pPr>
    </w:p>
    <w:p w:rsidR="00BF3442" w:rsidRDefault="00BF3442" w:rsidP="009E3B2C">
      <w:pPr>
        <w:jc w:val="both"/>
        <w:rPr>
          <w:color w:val="000000"/>
          <w:lang w:val="es-ES" w:eastAsia="es-ES"/>
        </w:rPr>
      </w:pPr>
    </w:p>
    <w:p w:rsidR="00E633B9" w:rsidRDefault="00E633B9" w:rsidP="009E3B2C">
      <w:pPr>
        <w:jc w:val="both"/>
        <w:rPr>
          <w:color w:val="000000"/>
          <w:lang w:val="es-ES" w:eastAsia="es-ES"/>
        </w:rPr>
      </w:pPr>
    </w:p>
    <w:p w:rsidR="00E633B9" w:rsidRDefault="00E633B9" w:rsidP="009E3B2C">
      <w:pPr>
        <w:jc w:val="both"/>
        <w:rPr>
          <w:color w:val="000000"/>
          <w:lang w:val="es-ES" w:eastAsia="es-ES"/>
        </w:rPr>
      </w:pPr>
    </w:p>
    <w:p w:rsidR="00E633B9" w:rsidRDefault="00E633B9" w:rsidP="009E3B2C">
      <w:pPr>
        <w:jc w:val="both"/>
        <w:rPr>
          <w:color w:val="000000"/>
          <w:lang w:val="es-ES" w:eastAsia="es-ES"/>
        </w:rPr>
      </w:pPr>
    </w:p>
    <w:p w:rsidR="00E633B9" w:rsidRDefault="00E633B9" w:rsidP="009E3B2C">
      <w:pPr>
        <w:jc w:val="both"/>
        <w:rPr>
          <w:color w:val="000000"/>
          <w:lang w:val="es-ES" w:eastAsia="es-ES"/>
        </w:rPr>
      </w:pPr>
    </w:p>
    <w:p w:rsidR="00BF3442" w:rsidRPr="001A7AE7" w:rsidRDefault="00BF3442" w:rsidP="00BF3442">
      <w:pPr>
        <w:jc w:val="both"/>
        <w:rPr>
          <w:rFonts w:ascii="Arial" w:hAnsi="Arial" w:cs="Arial"/>
          <w:bCs/>
          <w:color w:val="000000"/>
          <w:sz w:val="20"/>
          <w:szCs w:val="20"/>
          <w:lang w:val="es-ES" w:eastAsia="es-ES"/>
        </w:rPr>
      </w:pPr>
      <w:r w:rsidRPr="001A7AE7">
        <w:rPr>
          <w:rFonts w:ascii="Arial" w:hAnsi="Arial" w:cs="Arial"/>
          <w:b/>
          <w:bCs/>
          <w:color w:val="000000"/>
          <w:sz w:val="20"/>
          <w:szCs w:val="20"/>
          <w:lang w:val="es-ES" w:eastAsia="es-ES"/>
        </w:rPr>
        <w:t>Cuadro Nº</w:t>
      </w:r>
      <w:r>
        <w:rPr>
          <w:rFonts w:ascii="Arial" w:hAnsi="Arial" w:cs="Arial"/>
          <w:b/>
          <w:bCs/>
          <w:color w:val="000000"/>
          <w:sz w:val="20"/>
          <w:szCs w:val="20"/>
          <w:lang w:val="es-ES" w:eastAsia="es-ES"/>
        </w:rPr>
        <w:t>3</w:t>
      </w:r>
      <w:r w:rsidRPr="001A7AE7">
        <w:rPr>
          <w:rFonts w:ascii="Arial" w:hAnsi="Arial" w:cs="Arial"/>
          <w:b/>
          <w:bCs/>
          <w:color w:val="000000"/>
          <w:sz w:val="20"/>
          <w:szCs w:val="20"/>
          <w:lang w:val="es-ES" w:eastAsia="es-ES"/>
        </w:rPr>
        <w:t xml:space="preserve">. </w:t>
      </w:r>
      <w:r>
        <w:rPr>
          <w:rFonts w:ascii="Arial" w:hAnsi="Arial" w:cs="Arial"/>
          <w:bCs/>
          <w:color w:val="000000"/>
          <w:sz w:val="20"/>
          <w:szCs w:val="20"/>
          <w:lang w:val="es-ES" w:eastAsia="es-ES"/>
        </w:rPr>
        <w:t>Estimación de las ganancias por diferencia de cambio en el valor de las exportaciones de las 100 exportadoras más importantes.</w:t>
      </w:r>
    </w:p>
    <w:p w:rsidR="00BF3442" w:rsidRDefault="00BF3442" w:rsidP="00BF3442">
      <w:pPr>
        <w:jc w:val="both"/>
        <w:rPr>
          <w:rFonts w:ascii="Arial" w:hAnsi="Arial" w:cs="Arial"/>
          <w:lang w:val="es-ES"/>
        </w:rPr>
      </w:pPr>
    </w:p>
    <w:tbl>
      <w:tblPr>
        <w:tblW w:w="6824" w:type="dxa"/>
        <w:jc w:val="center"/>
        <w:tblCellMar>
          <w:left w:w="70" w:type="dxa"/>
          <w:right w:w="70" w:type="dxa"/>
        </w:tblCellMar>
        <w:tblLook w:val="04A0"/>
      </w:tblPr>
      <w:tblGrid>
        <w:gridCol w:w="2232"/>
        <w:gridCol w:w="1576"/>
        <w:gridCol w:w="1576"/>
        <w:gridCol w:w="1440"/>
      </w:tblGrid>
      <w:tr w:rsidR="00BF3442" w:rsidRPr="002276ED" w:rsidTr="002F2A5E">
        <w:trPr>
          <w:trHeight w:val="360"/>
          <w:jc w:val="center"/>
        </w:trPr>
        <w:tc>
          <w:tcPr>
            <w:tcW w:w="2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3442" w:rsidRPr="002276ED" w:rsidRDefault="00BF3442" w:rsidP="002F2A5E">
            <w:pPr>
              <w:rPr>
                <w:rFonts w:ascii="Latha" w:hAnsi="Latha" w:cs="Latha"/>
                <w:color w:val="000000"/>
                <w:sz w:val="20"/>
                <w:szCs w:val="20"/>
              </w:rPr>
            </w:pPr>
            <w:r w:rsidRPr="002276ED">
              <w:rPr>
                <w:rFonts w:ascii="Calibri" w:hAnsi="Calibri" w:cs="Calibri"/>
                <w:color w:val="000000"/>
                <w:sz w:val="20"/>
                <w:szCs w:val="20"/>
              </w:rPr>
              <w:t> </w:t>
            </w:r>
          </w:p>
        </w:tc>
        <w:tc>
          <w:tcPr>
            <w:tcW w:w="1576" w:type="dxa"/>
            <w:tcBorders>
              <w:top w:val="single" w:sz="4" w:space="0" w:color="auto"/>
              <w:left w:val="nil"/>
              <w:bottom w:val="single" w:sz="4" w:space="0" w:color="auto"/>
              <w:right w:val="single" w:sz="4" w:space="0" w:color="auto"/>
            </w:tcBorders>
            <w:shd w:val="clear" w:color="auto" w:fill="auto"/>
            <w:noWrap/>
            <w:vAlign w:val="bottom"/>
            <w:hideMark/>
          </w:tcPr>
          <w:p w:rsidR="00BF3442" w:rsidRPr="002276ED" w:rsidRDefault="00BF3442" w:rsidP="002F2A5E">
            <w:pPr>
              <w:jc w:val="right"/>
              <w:rPr>
                <w:rFonts w:ascii="Latha" w:hAnsi="Latha" w:cs="Latha"/>
                <w:color w:val="000000"/>
                <w:sz w:val="20"/>
                <w:szCs w:val="20"/>
              </w:rPr>
            </w:pPr>
            <w:r w:rsidRPr="002276ED">
              <w:rPr>
                <w:rFonts w:ascii="Latha" w:hAnsi="Latha" w:cs="Latha"/>
                <w:color w:val="000000"/>
                <w:sz w:val="20"/>
                <w:szCs w:val="20"/>
              </w:rPr>
              <w:t>2017</w:t>
            </w:r>
          </w:p>
        </w:tc>
        <w:tc>
          <w:tcPr>
            <w:tcW w:w="1576" w:type="dxa"/>
            <w:tcBorders>
              <w:top w:val="single" w:sz="4" w:space="0" w:color="auto"/>
              <w:left w:val="nil"/>
              <w:bottom w:val="single" w:sz="4" w:space="0" w:color="auto"/>
              <w:right w:val="single" w:sz="4" w:space="0" w:color="auto"/>
            </w:tcBorders>
            <w:shd w:val="clear" w:color="auto" w:fill="auto"/>
            <w:noWrap/>
            <w:vAlign w:val="bottom"/>
            <w:hideMark/>
          </w:tcPr>
          <w:p w:rsidR="00BF3442" w:rsidRPr="002276ED" w:rsidRDefault="00BF3442" w:rsidP="002F2A5E">
            <w:pPr>
              <w:jc w:val="right"/>
              <w:rPr>
                <w:rFonts w:ascii="Latha" w:hAnsi="Latha" w:cs="Latha"/>
                <w:color w:val="000000"/>
                <w:sz w:val="20"/>
                <w:szCs w:val="20"/>
              </w:rPr>
            </w:pPr>
            <w:r w:rsidRPr="002276ED">
              <w:rPr>
                <w:rFonts w:ascii="Latha" w:hAnsi="Latha" w:cs="Latha"/>
                <w:color w:val="000000"/>
                <w:sz w:val="20"/>
                <w:szCs w:val="20"/>
              </w:rPr>
              <w:t>2018</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BF3442" w:rsidRPr="002276ED" w:rsidRDefault="00BF3442" w:rsidP="002F2A5E">
            <w:pPr>
              <w:rPr>
                <w:rFonts w:ascii="Latha" w:hAnsi="Latha" w:cs="Latha"/>
                <w:color w:val="000000"/>
                <w:sz w:val="20"/>
                <w:szCs w:val="20"/>
              </w:rPr>
            </w:pPr>
            <w:r w:rsidRPr="002276ED">
              <w:rPr>
                <w:rFonts w:ascii="Latha" w:hAnsi="Latha" w:cs="Latha"/>
                <w:color w:val="000000"/>
                <w:sz w:val="20"/>
                <w:szCs w:val="20"/>
              </w:rPr>
              <w:t>Variación</w:t>
            </w:r>
          </w:p>
        </w:tc>
      </w:tr>
      <w:tr w:rsidR="00BF3442" w:rsidRPr="002276ED" w:rsidTr="002F2A5E">
        <w:trPr>
          <w:trHeight w:val="360"/>
          <w:jc w:val="center"/>
        </w:trPr>
        <w:tc>
          <w:tcPr>
            <w:tcW w:w="2232" w:type="dxa"/>
            <w:tcBorders>
              <w:top w:val="nil"/>
              <w:left w:val="single" w:sz="4" w:space="0" w:color="auto"/>
              <w:bottom w:val="single" w:sz="4" w:space="0" w:color="auto"/>
              <w:right w:val="single" w:sz="4" w:space="0" w:color="auto"/>
            </w:tcBorders>
            <w:shd w:val="clear" w:color="auto" w:fill="auto"/>
            <w:noWrap/>
            <w:vAlign w:val="bottom"/>
            <w:hideMark/>
          </w:tcPr>
          <w:p w:rsidR="00BF3442" w:rsidRPr="002276ED" w:rsidRDefault="00BF3442" w:rsidP="002F2A5E">
            <w:pPr>
              <w:rPr>
                <w:rFonts w:ascii="Latha" w:hAnsi="Latha" w:cs="Latha"/>
                <w:color w:val="000000"/>
                <w:sz w:val="20"/>
                <w:szCs w:val="20"/>
              </w:rPr>
            </w:pPr>
            <w:r w:rsidRPr="002276ED">
              <w:rPr>
                <w:rFonts w:ascii="Latha" w:hAnsi="Latha" w:cs="Latha"/>
                <w:color w:val="000000"/>
                <w:sz w:val="20"/>
                <w:szCs w:val="20"/>
              </w:rPr>
              <w:t>Exportaciones en U$S</w:t>
            </w:r>
          </w:p>
        </w:tc>
        <w:tc>
          <w:tcPr>
            <w:tcW w:w="1576" w:type="dxa"/>
            <w:tcBorders>
              <w:top w:val="nil"/>
              <w:left w:val="nil"/>
              <w:bottom w:val="single" w:sz="4" w:space="0" w:color="auto"/>
              <w:right w:val="single" w:sz="4" w:space="0" w:color="auto"/>
            </w:tcBorders>
            <w:shd w:val="clear" w:color="auto" w:fill="auto"/>
            <w:noWrap/>
            <w:vAlign w:val="bottom"/>
            <w:hideMark/>
          </w:tcPr>
          <w:p w:rsidR="00BF3442" w:rsidRPr="002276ED" w:rsidRDefault="00BF3442" w:rsidP="002F2A5E">
            <w:pPr>
              <w:rPr>
                <w:rFonts w:ascii="Latha" w:hAnsi="Latha" w:cs="Latha"/>
                <w:color w:val="000000"/>
                <w:sz w:val="20"/>
                <w:szCs w:val="20"/>
              </w:rPr>
            </w:pPr>
            <w:r w:rsidRPr="002276ED">
              <w:rPr>
                <w:rFonts w:ascii="Latha" w:hAnsi="Latha" w:cs="Latha"/>
                <w:color w:val="000000"/>
                <w:sz w:val="20"/>
                <w:szCs w:val="20"/>
              </w:rPr>
              <w:t xml:space="preserve">     38.984 </w:t>
            </w:r>
          </w:p>
        </w:tc>
        <w:tc>
          <w:tcPr>
            <w:tcW w:w="1576" w:type="dxa"/>
            <w:tcBorders>
              <w:top w:val="nil"/>
              <w:left w:val="nil"/>
              <w:bottom w:val="single" w:sz="4" w:space="0" w:color="auto"/>
              <w:right w:val="single" w:sz="4" w:space="0" w:color="auto"/>
            </w:tcBorders>
            <w:shd w:val="clear" w:color="auto" w:fill="auto"/>
            <w:noWrap/>
            <w:vAlign w:val="bottom"/>
            <w:hideMark/>
          </w:tcPr>
          <w:p w:rsidR="00BF3442" w:rsidRPr="002276ED" w:rsidRDefault="00BF3442" w:rsidP="002F2A5E">
            <w:pPr>
              <w:rPr>
                <w:rFonts w:ascii="Latha" w:hAnsi="Latha" w:cs="Latha"/>
                <w:color w:val="000000"/>
                <w:sz w:val="20"/>
                <w:szCs w:val="20"/>
              </w:rPr>
            </w:pPr>
            <w:r w:rsidRPr="002276ED">
              <w:rPr>
                <w:rFonts w:ascii="Latha" w:hAnsi="Latha" w:cs="Latha"/>
                <w:color w:val="000000"/>
                <w:sz w:val="20"/>
                <w:szCs w:val="20"/>
              </w:rPr>
              <w:t xml:space="preserve">     40.014 </w:t>
            </w:r>
          </w:p>
        </w:tc>
        <w:tc>
          <w:tcPr>
            <w:tcW w:w="1440" w:type="dxa"/>
            <w:tcBorders>
              <w:top w:val="nil"/>
              <w:left w:val="nil"/>
              <w:bottom w:val="single" w:sz="4" w:space="0" w:color="auto"/>
              <w:right w:val="single" w:sz="4" w:space="0" w:color="auto"/>
            </w:tcBorders>
            <w:shd w:val="clear" w:color="auto" w:fill="auto"/>
            <w:noWrap/>
            <w:vAlign w:val="bottom"/>
            <w:hideMark/>
          </w:tcPr>
          <w:p w:rsidR="00BF3442" w:rsidRPr="002276ED" w:rsidRDefault="00BF3442" w:rsidP="002F2A5E">
            <w:pPr>
              <w:rPr>
                <w:rFonts w:ascii="Latha" w:hAnsi="Latha" w:cs="Latha"/>
                <w:color w:val="000000"/>
                <w:sz w:val="20"/>
                <w:szCs w:val="20"/>
              </w:rPr>
            </w:pPr>
            <w:r w:rsidRPr="002276ED">
              <w:rPr>
                <w:rFonts w:ascii="Latha" w:hAnsi="Latha" w:cs="Latha"/>
                <w:color w:val="000000"/>
                <w:sz w:val="20"/>
                <w:szCs w:val="20"/>
              </w:rPr>
              <w:t xml:space="preserve">      1.030 </w:t>
            </w:r>
          </w:p>
        </w:tc>
      </w:tr>
      <w:tr w:rsidR="00BF3442" w:rsidRPr="002276ED" w:rsidTr="002F2A5E">
        <w:trPr>
          <w:trHeight w:val="360"/>
          <w:jc w:val="center"/>
        </w:trPr>
        <w:tc>
          <w:tcPr>
            <w:tcW w:w="2232" w:type="dxa"/>
            <w:tcBorders>
              <w:top w:val="nil"/>
              <w:left w:val="single" w:sz="4" w:space="0" w:color="auto"/>
              <w:bottom w:val="single" w:sz="4" w:space="0" w:color="auto"/>
              <w:right w:val="single" w:sz="4" w:space="0" w:color="auto"/>
            </w:tcBorders>
            <w:shd w:val="clear" w:color="auto" w:fill="auto"/>
            <w:noWrap/>
            <w:vAlign w:val="bottom"/>
            <w:hideMark/>
          </w:tcPr>
          <w:p w:rsidR="00BF3442" w:rsidRPr="002276ED" w:rsidRDefault="00BF3442" w:rsidP="002F2A5E">
            <w:pPr>
              <w:rPr>
                <w:rFonts w:ascii="Latha" w:hAnsi="Latha" w:cs="Latha"/>
                <w:color w:val="000000"/>
                <w:sz w:val="20"/>
                <w:szCs w:val="20"/>
              </w:rPr>
            </w:pPr>
            <w:r w:rsidRPr="002276ED">
              <w:rPr>
                <w:rFonts w:ascii="Latha" w:hAnsi="Latha" w:cs="Latha"/>
                <w:color w:val="000000"/>
                <w:sz w:val="20"/>
                <w:szCs w:val="20"/>
              </w:rPr>
              <w:t>TC</w:t>
            </w:r>
          </w:p>
        </w:tc>
        <w:tc>
          <w:tcPr>
            <w:tcW w:w="1576" w:type="dxa"/>
            <w:tcBorders>
              <w:top w:val="nil"/>
              <w:left w:val="nil"/>
              <w:bottom w:val="single" w:sz="4" w:space="0" w:color="auto"/>
              <w:right w:val="single" w:sz="4" w:space="0" w:color="auto"/>
            </w:tcBorders>
            <w:shd w:val="clear" w:color="auto" w:fill="auto"/>
            <w:noWrap/>
            <w:vAlign w:val="bottom"/>
            <w:hideMark/>
          </w:tcPr>
          <w:p w:rsidR="00BF3442" w:rsidRPr="002276ED" w:rsidRDefault="00BF3442" w:rsidP="002F2A5E">
            <w:pPr>
              <w:jc w:val="right"/>
              <w:rPr>
                <w:rFonts w:ascii="Latha" w:hAnsi="Latha" w:cs="Latha"/>
                <w:color w:val="000000"/>
                <w:sz w:val="20"/>
                <w:szCs w:val="20"/>
              </w:rPr>
            </w:pPr>
            <w:r w:rsidRPr="002276ED">
              <w:rPr>
                <w:rFonts w:ascii="Latha" w:hAnsi="Latha" w:cs="Latha"/>
                <w:color w:val="000000"/>
                <w:sz w:val="20"/>
                <w:szCs w:val="20"/>
              </w:rPr>
              <w:t>18,77</w:t>
            </w:r>
          </w:p>
        </w:tc>
        <w:tc>
          <w:tcPr>
            <w:tcW w:w="1576" w:type="dxa"/>
            <w:tcBorders>
              <w:top w:val="nil"/>
              <w:left w:val="nil"/>
              <w:bottom w:val="single" w:sz="4" w:space="0" w:color="auto"/>
              <w:right w:val="single" w:sz="4" w:space="0" w:color="auto"/>
            </w:tcBorders>
            <w:shd w:val="clear" w:color="auto" w:fill="auto"/>
            <w:noWrap/>
            <w:vAlign w:val="bottom"/>
            <w:hideMark/>
          </w:tcPr>
          <w:p w:rsidR="00BF3442" w:rsidRPr="002276ED" w:rsidRDefault="00BF3442" w:rsidP="002F2A5E">
            <w:pPr>
              <w:jc w:val="right"/>
              <w:rPr>
                <w:rFonts w:ascii="Latha" w:hAnsi="Latha" w:cs="Latha"/>
                <w:color w:val="000000"/>
                <w:sz w:val="20"/>
                <w:szCs w:val="20"/>
              </w:rPr>
            </w:pPr>
            <w:r w:rsidRPr="002276ED">
              <w:rPr>
                <w:rFonts w:ascii="Latha" w:hAnsi="Latha" w:cs="Latha"/>
                <w:color w:val="000000"/>
                <w:sz w:val="20"/>
                <w:szCs w:val="20"/>
              </w:rPr>
              <w:t>37,8</w:t>
            </w:r>
          </w:p>
        </w:tc>
        <w:tc>
          <w:tcPr>
            <w:tcW w:w="1440" w:type="dxa"/>
            <w:tcBorders>
              <w:top w:val="nil"/>
              <w:left w:val="nil"/>
              <w:bottom w:val="single" w:sz="4" w:space="0" w:color="auto"/>
              <w:right w:val="single" w:sz="4" w:space="0" w:color="auto"/>
            </w:tcBorders>
            <w:shd w:val="clear" w:color="auto" w:fill="auto"/>
            <w:noWrap/>
            <w:vAlign w:val="bottom"/>
            <w:hideMark/>
          </w:tcPr>
          <w:p w:rsidR="00BF3442" w:rsidRPr="002276ED" w:rsidRDefault="00BF3442" w:rsidP="002F2A5E">
            <w:pPr>
              <w:rPr>
                <w:rFonts w:ascii="Latha" w:hAnsi="Latha" w:cs="Latha"/>
                <w:color w:val="000000"/>
                <w:sz w:val="20"/>
                <w:szCs w:val="20"/>
              </w:rPr>
            </w:pPr>
            <w:r w:rsidRPr="002276ED">
              <w:rPr>
                <w:rFonts w:ascii="Latha" w:hAnsi="Latha" w:cs="Latha"/>
                <w:color w:val="000000"/>
                <w:sz w:val="20"/>
                <w:szCs w:val="20"/>
              </w:rPr>
              <w:t xml:space="preserve">      19,03 </w:t>
            </w:r>
          </w:p>
        </w:tc>
      </w:tr>
      <w:tr w:rsidR="00BF3442" w:rsidRPr="002276ED" w:rsidTr="002F2A5E">
        <w:trPr>
          <w:trHeight w:val="360"/>
          <w:jc w:val="center"/>
        </w:trPr>
        <w:tc>
          <w:tcPr>
            <w:tcW w:w="2232" w:type="dxa"/>
            <w:tcBorders>
              <w:top w:val="nil"/>
              <w:left w:val="single" w:sz="4" w:space="0" w:color="auto"/>
              <w:bottom w:val="single" w:sz="4" w:space="0" w:color="auto"/>
              <w:right w:val="single" w:sz="4" w:space="0" w:color="auto"/>
            </w:tcBorders>
            <w:shd w:val="clear" w:color="auto" w:fill="auto"/>
            <w:noWrap/>
            <w:vAlign w:val="bottom"/>
            <w:hideMark/>
          </w:tcPr>
          <w:p w:rsidR="00BF3442" w:rsidRPr="002276ED" w:rsidRDefault="00BF3442" w:rsidP="002F2A5E">
            <w:pPr>
              <w:rPr>
                <w:rFonts w:ascii="Latha" w:hAnsi="Latha" w:cs="Latha"/>
                <w:color w:val="000000"/>
                <w:sz w:val="20"/>
                <w:szCs w:val="20"/>
              </w:rPr>
            </w:pPr>
            <w:r w:rsidRPr="002276ED">
              <w:rPr>
                <w:rFonts w:ascii="Latha" w:hAnsi="Latha" w:cs="Latha"/>
                <w:color w:val="000000"/>
                <w:sz w:val="20"/>
                <w:szCs w:val="20"/>
              </w:rPr>
              <w:t>Exportaciones en $</w:t>
            </w:r>
          </w:p>
        </w:tc>
        <w:tc>
          <w:tcPr>
            <w:tcW w:w="1576" w:type="dxa"/>
            <w:tcBorders>
              <w:top w:val="nil"/>
              <w:left w:val="nil"/>
              <w:bottom w:val="single" w:sz="4" w:space="0" w:color="auto"/>
              <w:right w:val="single" w:sz="4" w:space="0" w:color="auto"/>
            </w:tcBorders>
            <w:shd w:val="clear" w:color="auto" w:fill="auto"/>
            <w:noWrap/>
            <w:vAlign w:val="bottom"/>
            <w:hideMark/>
          </w:tcPr>
          <w:p w:rsidR="00BF3442" w:rsidRPr="002276ED" w:rsidRDefault="00BF3442" w:rsidP="002F2A5E">
            <w:pPr>
              <w:rPr>
                <w:rFonts w:ascii="Latha" w:hAnsi="Latha" w:cs="Latha"/>
                <w:color w:val="000000"/>
                <w:sz w:val="20"/>
                <w:szCs w:val="20"/>
              </w:rPr>
            </w:pPr>
            <w:r w:rsidRPr="002276ED">
              <w:rPr>
                <w:rFonts w:ascii="Latha" w:hAnsi="Latha" w:cs="Latha"/>
                <w:color w:val="000000"/>
                <w:sz w:val="20"/>
                <w:szCs w:val="20"/>
              </w:rPr>
              <w:t xml:space="preserve">    731.738 </w:t>
            </w:r>
          </w:p>
        </w:tc>
        <w:tc>
          <w:tcPr>
            <w:tcW w:w="1576" w:type="dxa"/>
            <w:tcBorders>
              <w:top w:val="nil"/>
              <w:left w:val="nil"/>
              <w:bottom w:val="single" w:sz="4" w:space="0" w:color="auto"/>
              <w:right w:val="single" w:sz="4" w:space="0" w:color="auto"/>
            </w:tcBorders>
            <w:shd w:val="clear" w:color="auto" w:fill="auto"/>
            <w:noWrap/>
            <w:vAlign w:val="bottom"/>
            <w:hideMark/>
          </w:tcPr>
          <w:p w:rsidR="00BF3442" w:rsidRPr="002276ED" w:rsidRDefault="00BF3442" w:rsidP="002F2A5E">
            <w:pPr>
              <w:rPr>
                <w:rFonts w:ascii="Latha" w:hAnsi="Latha" w:cs="Latha"/>
                <w:color w:val="000000"/>
                <w:sz w:val="20"/>
                <w:szCs w:val="20"/>
              </w:rPr>
            </w:pPr>
            <w:r w:rsidRPr="002276ED">
              <w:rPr>
                <w:rFonts w:ascii="Latha" w:hAnsi="Latha" w:cs="Latha"/>
                <w:color w:val="000000"/>
                <w:sz w:val="20"/>
                <w:szCs w:val="20"/>
              </w:rPr>
              <w:t xml:space="preserve">  1.512.540 </w:t>
            </w:r>
          </w:p>
        </w:tc>
        <w:tc>
          <w:tcPr>
            <w:tcW w:w="1440" w:type="dxa"/>
            <w:tcBorders>
              <w:top w:val="nil"/>
              <w:left w:val="nil"/>
              <w:bottom w:val="single" w:sz="4" w:space="0" w:color="auto"/>
              <w:right w:val="single" w:sz="4" w:space="0" w:color="auto"/>
            </w:tcBorders>
            <w:shd w:val="clear" w:color="auto" w:fill="auto"/>
            <w:noWrap/>
            <w:vAlign w:val="bottom"/>
            <w:hideMark/>
          </w:tcPr>
          <w:p w:rsidR="00BF3442" w:rsidRPr="002276ED" w:rsidRDefault="00BF3442" w:rsidP="002F2A5E">
            <w:pPr>
              <w:rPr>
                <w:rFonts w:ascii="Latha" w:hAnsi="Latha" w:cs="Latha"/>
                <w:color w:val="000000"/>
                <w:sz w:val="20"/>
                <w:szCs w:val="20"/>
              </w:rPr>
            </w:pPr>
            <w:r w:rsidRPr="002276ED">
              <w:rPr>
                <w:rFonts w:ascii="Latha" w:hAnsi="Latha" w:cs="Latha"/>
                <w:color w:val="000000"/>
                <w:sz w:val="20"/>
                <w:szCs w:val="20"/>
              </w:rPr>
              <w:t xml:space="preserve">    780.801 </w:t>
            </w:r>
          </w:p>
        </w:tc>
      </w:tr>
    </w:tbl>
    <w:p w:rsidR="00BF3442" w:rsidRDefault="00BF3442" w:rsidP="00BF3442">
      <w:pPr>
        <w:jc w:val="both"/>
        <w:rPr>
          <w:rFonts w:ascii="Arial" w:hAnsi="Arial" w:cs="Arial"/>
          <w:lang w:val="es-ES"/>
        </w:rPr>
      </w:pPr>
    </w:p>
    <w:tbl>
      <w:tblPr>
        <w:tblW w:w="6824" w:type="dxa"/>
        <w:jc w:val="center"/>
        <w:tblCellMar>
          <w:left w:w="70" w:type="dxa"/>
          <w:right w:w="70" w:type="dxa"/>
        </w:tblCellMar>
        <w:tblLook w:val="04A0"/>
      </w:tblPr>
      <w:tblGrid>
        <w:gridCol w:w="2232"/>
        <w:gridCol w:w="1576"/>
        <w:gridCol w:w="1576"/>
        <w:gridCol w:w="1440"/>
      </w:tblGrid>
      <w:tr w:rsidR="00BF3442" w:rsidTr="002F2A5E">
        <w:trPr>
          <w:trHeight w:val="360"/>
          <w:jc w:val="center"/>
        </w:trPr>
        <w:tc>
          <w:tcPr>
            <w:tcW w:w="2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3442" w:rsidRDefault="00BF3442" w:rsidP="002F2A5E">
            <w:pPr>
              <w:rPr>
                <w:rFonts w:ascii="Latha" w:hAnsi="Latha" w:cs="Latha"/>
                <w:color w:val="000000"/>
                <w:sz w:val="20"/>
                <w:szCs w:val="20"/>
              </w:rPr>
            </w:pPr>
            <w:r>
              <w:rPr>
                <w:rFonts w:ascii="Calibri" w:hAnsi="Calibri" w:cs="Calibri"/>
                <w:color w:val="000000"/>
                <w:sz w:val="20"/>
                <w:szCs w:val="20"/>
              </w:rPr>
              <w:t> </w:t>
            </w:r>
          </w:p>
        </w:tc>
        <w:tc>
          <w:tcPr>
            <w:tcW w:w="1576" w:type="dxa"/>
            <w:tcBorders>
              <w:top w:val="single" w:sz="4" w:space="0" w:color="auto"/>
              <w:left w:val="nil"/>
              <w:bottom w:val="single" w:sz="4" w:space="0" w:color="auto"/>
              <w:right w:val="single" w:sz="4" w:space="0" w:color="auto"/>
            </w:tcBorders>
            <w:shd w:val="clear" w:color="auto" w:fill="auto"/>
            <w:noWrap/>
            <w:vAlign w:val="bottom"/>
            <w:hideMark/>
          </w:tcPr>
          <w:p w:rsidR="00BF3442" w:rsidRDefault="00BF3442" w:rsidP="002F2A5E">
            <w:pPr>
              <w:jc w:val="right"/>
              <w:rPr>
                <w:rFonts w:ascii="Latha" w:hAnsi="Latha" w:cs="Latha"/>
                <w:color w:val="000000"/>
                <w:sz w:val="20"/>
                <w:szCs w:val="20"/>
              </w:rPr>
            </w:pPr>
            <w:r>
              <w:rPr>
                <w:rFonts w:ascii="Latha" w:hAnsi="Latha" w:cs="Latha"/>
                <w:color w:val="000000"/>
                <w:sz w:val="20"/>
                <w:szCs w:val="20"/>
              </w:rPr>
              <w:t>2017</w:t>
            </w:r>
          </w:p>
        </w:tc>
        <w:tc>
          <w:tcPr>
            <w:tcW w:w="1576" w:type="dxa"/>
            <w:tcBorders>
              <w:top w:val="single" w:sz="4" w:space="0" w:color="auto"/>
              <w:left w:val="nil"/>
              <w:bottom w:val="single" w:sz="4" w:space="0" w:color="auto"/>
              <w:right w:val="single" w:sz="4" w:space="0" w:color="auto"/>
            </w:tcBorders>
            <w:shd w:val="clear" w:color="auto" w:fill="auto"/>
            <w:noWrap/>
            <w:vAlign w:val="bottom"/>
            <w:hideMark/>
          </w:tcPr>
          <w:p w:rsidR="00BF3442" w:rsidRDefault="00BF3442" w:rsidP="002F2A5E">
            <w:pPr>
              <w:jc w:val="right"/>
              <w:rPr>
                <w:rFonts w:ascii="Latha" w:hAnsi="Latha" w:cs="Latha"/>
                <w:color w:val="000000"/>
                <w:sz w:val="20"/>
                <w:szCs w:val="20"/>
              </w:rPr>
            </w:pPr>
            <w:r>
              <w:rPr>
                <w:rFonts w:ascii="Latha" w:hAnsi="Latha" w:cs="Latha"/>
                <w:color w:val="000000"/>
                <w:sz w:val="20"/>
                <w:szCs w:val="20"/>
              </w:rPr>
              <w:t>2018</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BF3442" w:rsidRDefault="00BF3442" w:rsidP="002F2A5E">
            <w:pPr>
              <w:rPr>
                <w:rFonts w:ascii="Latha" w:hAnsi="Latha" w:cs="Latha"/>
                <w:color w:val="000000"/>
                <w:sz w:val="20"/>
                <w:szCs w:val="20"/>
              </w:rPr>
            </w:pPr>
            <w:r>
              <w:rPr>
                <w:rFonts w:ascii="Latha" w:hAnsi="Latha" w:cs="Latha"/>
                <w:color w:val="000000"/>
                <w:sz w:val="20"/>
                <w:szCs w:val="20"/>
              </w:rPr>
              <w:t>Variación</w:t>
            </w:r>
          </w:p>
        </w:tc>
      </w:tr>
      <w:tr w:rsidR="00BF3442" w:rsidTr="002F2A5E">
        <w:trPr>
          <w:trHeight w:val="360"/>
          <w:jc w:val="center"/>
        </w:trPr>
        <w:tc>
          <w:tcPr>
            <w:tcW w:w="2232" w:type="dxa"/>
            <w:tcBorders>
              <w:top w:val="nil"/>
              <w:left w:val="single" w:sz="4" w:space="0" w:color="auto"/>
              <w:bottom w:val="single" w:sz="4" w:space="0" w:color="auto"/>
              <w:right w:val="single" w:sz="4" w:space="0" w:color="auto"/>
            </w:tcBorders>
            <w:shd w:val="clear" w:color="auto" w:fill="auto"/>
            <w:noWrap/>
            <w:vAlign w:val="bottom"/>
            <w:hideMark/>
          </w:tcPr>
          <w:p w:rsidR="00BF3442" w:rsidRDefault="00BF3442" w:rsidP="002F2A5E">
            <w:pPr>
              <w:rPr>
                <w:rFonts w:ascii="Latha" w:hAnsi="Latha" w:cs="Latha"/>
                <w:color w:val="000000"/>
                <w:sz w:val="20"/>
                <w:szCs w:val="20"/>
              </w:rPr>
            </w:pPr>
            <w:r>
              <w:rPr>
                <w:rFonts w:ascii="Latha" w:hAnsi="Latha" w:cs="Latha"/>
                <w:color w:val="000000"/>
                <w:sz w:val="20"/>
                <w:szCs w:val="20"/>
              </w:rPr>
              <w:t>Exportaciones en U$S</w:t>
            </w:r>
          </w:p>
        </w:tc>
        <w:tc>
          <w:tcPr>
            <w:tcW w:w="1576" w:type="dxa"/>
            <w:tcBorders>
              <w:top w:val="nil"/>
              <w:left w:val="nil"/>
              <w:bottom w:val="single" w:sz="4" w:space="0" w:color="auto"/>
              <w:right w:val="single" w:sz="4" w:space="0" w:color="auto"/>
            </w:tcBorders>
            <w:shd w:val="clear" w:color="auto" w:fill="auto"/>
            <w:noWrap/>
            <w:vAlign w:val="bottom"/>
            <w:hideMark/>
          </w:tcPr>
          <w:p w:rsidR="00BF3442" w:rsidRDefault="00BF3442" w:rsidP="002F2A5E">
            <w:pPr>
              <w:rPr>
                <w:rFonts w:ascii="Latha" w:hAnsi="Latha" w:cs="Latha"/>
                <w:color w:val="000000"/>
                <w:sz w:val="20"/>
                <w:szCs w:val="20"/>
              </w:rPr>
            </w:pPr>
            <w:r>
              <w:rPr>
                <w:rFonts w:ascii="Latha" w:hAnsi="Latha" w:cs="Latha"/>
                <w:color w:val="000000"/>
                <w:sz w:val="20"/>
                <w:szCs w:val="20"/>
              </w:rPr>
              <w:t xml:space="preserve">     40.014 </w:t>
            </w:r>
          </w:p>
        </w:tc>
        <w:tc>
          <w:tcPr>
            <w:tcW w:w="1576" w:type="dxa"/>
            <w:tcBorders>
              <w:top w:val="nil"/>
              <w:left w:val="nil"/>
              <w:bottom w:val="single" w:sz="4" w:space="0" w:color="auto"/>
              <w:right w:val="single" w:sz="4" w:space="0" w:color="auto"/>
            </w:tcBorders>
            <w:shd w:val="clear" w:color="auto" w:fill="auto"/>
            <w:noWrap/>
            <w:vAlign w:val="bottom"/>
            <w:hideMark/>
          </w:tcPr>
          <w:p w:rsidR="00BF3442" w:rsidRDefault="00BF3442" w:rsidP="002F2A5E">
            <w:pPr>
              <w:rPr>
                <w:rFonts w:ascii="Latha" w:hAnsi="Latha" w:cs="Latha"/>
                <w:color w:val="000000"/>
                <w:sz w:val="20"/>
                <w:szCs w:val="20"/>
              </w:rPr>
            </w:pPr>
            <w:r>
              <w:rPr>
                <w:rFonts w:ascii="Latha" w:hAnsi="Latha" w:cs="Latha"/>
                <w:color w:val="000000"/>
                <w:sz w:val="20"/>
                <w:szCs w:val="20"/>
              </w:rPr>
              <w:t xml:space="preserve">     40.014 </w:t>
            </w:r>
          </w:p>
        </w:tc>
        <w:tc>
          <w:tcPr>
            <w:tcW w:w="1440" w:type="dxa"/>
            <w:tcBorders>
              <w:top w:val="nil"/>
              <w:left w:val="nil"/>
              <w:bottom w:val="single" w:sz="4" w:space="0" w:color="auto"/>
              <w:right w:val="single" w:sz="4" w:space="0" w:color="auto"/>
            </w:tcBorders>
            <w:shd w:val="clear" w:color="auto" w:fill="auto"/>
            <w:noWrap/>
            <w:vAlign w:val="bottom"/>
            <w:hideMark/>
          </w:tcPr>
          <w:p w:rsidR="00BF3442" w:rsidRDefault="00BF3442" w:rsidP="002F2A5E">
            <w:pPr>
              <w:rPr>
                <w:rFonts w:ascii="Latha" w:hAnsi="Latha" w:cs="Latha"/>
                <w:color w:val="000000"/>
                <w:sz w:val="20"/>
                <w:szCs w:val="20"/>
              </w:rPr>
            </w:pPr>
            <w:r>
              <w:rPr>
                <w:rFonts w:ascii="Latha" w:hAnsi="Latha" w:cs="Latha"/>
                <w:color w:val="000000"/>
                <w:sz w:val="20"/>
                <w:szCs w:val="20"/>
              </w:rPr>
              <w:t xml:space="preserve">       -   </w:t>
            </w:r>
          </w:p>
        </w:tc>
      </w:tr>
      <w:tr w:rsidR="00BF3442" w:rsidTr="002F2A5E">
        <w:trPr>
          <w:trHeight w:val="360"/>
          <w:jc w:val="center"/>
        </w:trPr>
        <w:tc>
          <w:tcPr>
            <w:tcW w:w="2232" w:type="dxa"/>
            <w:tcBorders>
              <w:top w:val="nil"/>
              <w:left w:val="single" w:sz="4" w:space="0" w:color="auto"/>
              <w:bottom w:val="single" w:sz="4" w:space="0" w:color="auto"/>
              <w:right w:val="single" w:sz="4" w:space="0" w:color="auto"/>
            </w:tcBorders>
            <w:shd w:val="clear" w:color="auto" w:fill="auto"/>
            <w:noWrap/>
            <w:vAlign w:val="bottom"/>
            <w:hideMark/>
          </w:tcPr>
          <w:p w:rsidR="00BF3442" w:rsidRDefault="00BF3442" w:rsidP="002F2A5E">
            <w:pPr>
              <w:rPr>
                <w:rFonts w:ascii="Latha" w:hAnsi="Latha" w:cs="Latha"/>
                <w:color w:val="000000"/>
                <w:sz w:val="20"/>
                <w:szCs w:val="20"/>
              </w:rPr>
            </w:pPr>
            <w:r>
              <w:rPr>
                <w:rFonts w:ascii="Latha" w:hAnsi="Latha" w:cs="Latha"/>
                <w:color w:val="000000"/>
                <w:sz w:val="20"/>
                <w:szCs w:val="20"/>
              </w:rPr>
              <w:t>TC</w:t>
            </w:r>
          </w:p>
        </w:tc>
        <w:tc>
          <w:tcPr>
            <w:tcW w:w="1576" w:type="dxa"/>
            <w:tcBorders>
              <w:top w:val="nil"/>
              <w:left w:val="nil"/>
              <w:bottom w:val="single" w:sz="4" w:space="0" w:color="auto"/>
              <w:right w:val="single" w:sz="4" w:space="0" w:color="auto"/>
            </w:tcBorders>
            <w:shd w:val="clear" w:color="auto" w:fill="auto"/>
            <w:noWrap/>
            <w:vAlign w:val="bottom"/>
            <w:hideMark/>
          </w:tcPr>
          <w:p w:rsidR="00BF3442" w:rsidRDefault="00BF3442" w:rsidP="002F2A5E">
            <w:pPr>
              <w:jc w:val="right"/>
              <w:rPr>
                <w:rFonts w:ascii="Latha" w:hAnsi="Latha" w:cs="Latha"/>
                <w:color w:val="000000"/>
                <w:sz w:val="20"/>
                <w:szCs w:val="20"/>
              </w:rPr>
            </w:pPr>
            <w:r>
              <w:rPr>
                <w:rFonts w:ascii="Latha" w:hAnsi="Latha" w:cs="Latha"/>
                <w:color w:val="000000"/>
                <w:sz w:val="20"/>
                <w:szCs w:val="20"/>
              </w:rPr>
              <w:t>18,77</w:t>
            </w:r>
          </w:p>
        </w:tc>
        <w:tc>
          <w:tcPr>
            <w:tcW w:w="1576" w:type="dxa"/>
            <w:tcBorders>
              <w:top w:val="nil"/>
              <w:left w:val="nil"/>
              <w:bottom w:val="single" w:sz="4" w:space="0" w:color="auto"/>
              <w:right w:val="single" w:sz="4" w:space="0" w:color="auto"/>
            </w:tcBorders>
            <w:shd w:val="clear" w:color="auto" w:fill="auto"/>
            <w:noWrap/>
            <w:vAlign w:val="bottom"/>
            <w:hideMark/>
          </w:tcPr>
          <w:p w:rsidR="00BF3442" w:rsidRDefault="00BF3442" w:rsidP="002F2A5E">
            <w:pPr>
              <w:jc w:val="right"/>
              <w:rPr>
                <w:rFonts w:ascii="Latha" w:hAnsi="Latha" w:cs="Latha"/>
                <w:color w:val="000000"/>
                <w:sz w:val="20"/>
                <w:szCs w:val="20"/>
              </w:rPr>
            </w:pPr>
            <w:r>
              <w:rPr>
                <w:rFonts w:ascii="Latha" w:hAnsi="Latha" w:cs="Latha"/>
                <w:color w:val="000000"/>
                <w:sz w:val="20"/>
                <w:szCs w:val="20"/>
              </w:rPr>
              <w:t>37,8</w:t>
            </w:r>
          </w:p>
        </w:tc>
        <w:tc>
          <w:tcPr>
            <w:tcW w:w="1440" w:type="dxa"/>
            <w:tcBorders>
              <w:top w:val="nil"/>
              <w:left w:val="nil"/>
              <w:bottom w:val="single" w:sz="4" w:space="0" w:color="auto"/>
              <w:right w:val="single" w:sz="4" w:space="0" w:color="auto"/>
            </w:tcBorders>
            <w:shd w:val="clear" w:color="auto" w:fill="auto"/>
            <w:noWrap/>
            <w:vAlign w:val="bottom"/>
            <w:hideMark/>
          </w:tcPr>
          <w:p w:rsidR="00BF3442" w:rsidRDefault="00BF3442" w:rsidP="002F2A5E">
            <w:pPr>
              <w:rPr>
                <w:rFonts w:ascii="Latha" w:hAnsi="Latha" w:cs="Latha"/>
                <w:color w:val="000000"/>
                <w:sz w:val="20"/>
                <w:szCs w:val="20"/>
              </w:rPr>
            </w:pPr>
            <w:r>
              <w:rPr>
                <w:rFonts w:ascii="Latha" w:hAnsi="Latha" w:cs="Latha"/>
                <w:color w:val="000000"/>
                <w:sz w:val="20"/>
                <w:szCs w:val="20"/>
              </w:rPr>
              <w:t xml:space="preserve">      19,03 </w:t>
            </w:r>
          </w:p>
        </w:tc>
      </w:tr>
      <w:tr w:rsidR="00BF3442" w:rsidTr="002F2A5E">
        <w:trPr>
          <w:trHeight w:val="360"/>
          <w:jc w:val="center"/>
        </w:trPr>
        <w:tc>
          <w:tcPr>
            <w:tcW w:w="2232" w:type="dxa"/>
            <w:tcBorders>
              <w:top w:val="nil"/>
              <w:left w:val="single" w:sz="4" w:space="0" w:color="auto"/>
              <w:bottom w:val="single" w:sz="4" w:space="0" w:color="auto"/>
              <w:right w:val="single" w:sz="4" w:space="0" w:color="auto"/>
            </w:tcBorders>
            <w:shd w:val="clear" w:color="auto" w:fill="auto"/>
            <w:noWrap/>
            <w:vAlign w:val="bottom"/>
            <w:hideMark/>
          </w:tcPr>
          <w:p w:rsidR="00BF3442" w:rsidRDefault="00BF3442" w:rsidP="002F2A5E">
            <w:pPr>
              <w:rPr>
                <w:rFonts w:ascii="Latha" w:hAnsi="Latha" w:cs="Latha"/>
                <w:color w:val="000000"/>
                <w:sz w:val="20"/>
                <w:szCs w:val="20"/>
              </w:rPr>
            </w:pPr>
            <w:r>
              <w:rPr>
                <w:rFonts w:ascii="Latha" w:hAnsi="Latha" w:cs="Latha"/>
                <w:color w:val="000000"/>
                <w:sz w:val="20"/>
                <w:szCs w:val="20"/>
              </w:rPr>
              <w:t>Exportaciones en $</w:t>
            </w:r>
          </w:p>
        </w:tc>
        <w:tc>
          <w:tcPr>
            <w:tcW w:w="1576" w:type="dxa"/>
            <w:tcBorders>
              <w:top w:val="nil"/>
              <w:left w:val="nil"/>
              <w:bottom w:val="single" w:sz="4" w:space="0" w:color="auto"/>
              <w:right w:val="single" w:sz="4" w:space="0" w:color="auto"/>
            </w:tcBorders>
            <w:shd w:val="clear" w:color="auto" w:fill="auto"/>
            <w:noWrap/>
            <w:vAlign w:val="bottom"/>
            <w:hideMark/>
          </w:tcPr>
          <w:p w:rsidR="00BF3442" w:rsidRDefault="00BF3442" w:rsidP="002F2A5E">
            <w:pPr>
              <w:rPr>
                <w:rFonts w:ascii="Latha" w:hAnsi="Latha" w:cs="Latha"/>
                <w:color w:val="000000"/>
                <w:sz w:val="20"/>
                <w:szCs w:val="20"/>
              </w:rPr>
            </w:pPr>
            <w:r>
              <w:rPr>
                <w:rFonts w:ascii="Latha" w:hAnsi="Latha" w:cs="Latha"/>
                <w:color w:val="000000"/>
                <w:sz w:val="20"/>
                <w:szCs w:val="20"/>
              </w:rPr>
              <w:t xml:space="preserve">    751.068 </w:t>
            </w:r>
          </w:p>
        </w:tc>
        <w:tc>
          <w:tcPr>
            <w:tcW w:w="1576" w:type="dxa"/>
            <w:tcBorders>
              <w:top w:val="nil"/>
              <w:left w:val="nil"/>
              <w:bottom w:val="single" w:sz="4" w:space="0" w:color="auto"/>
              <w:right w:val="single" w:sz="4" w:space="0" w:color="auto"/>
            </w:tcBorders>
            <w:shd w:val="clear" w:color="auto" w:fill="auto"/>
            <w:noWrap/>
            <w:vAlign w:val="bottom"/>
            <w:hideMark/>
          </w:tcPr>
          <w:p w:rsidR="00BF3442" w:rsidRDefault="00BF3442" w:rsidP="002F2A5E">
            <w:pPr>
              <w:rPr>
                <w:rFonts w:ascii="Latha" w:hAnsi="Latha" w:cs="Latha"/>
                <w:color w:val="000000"/>
                <w:sz w:val="20"/>
                <w:szCs w:val="20"/>
              </w:rPr>
            </w:pPr>
            <w:r>
              <w:rPr>
                <w:rFonts w:ascii="Latha" w:hAnsi="Latha" w:cs="Latha"/>
                <w:color w:val="000000"/>
                <w:sz w:val="20"/>
                <w:szCs w:val="20"/>
              </w:rPr>
              <w:t xml:space="preserve">  1.512.540 </w:t>
            </w:r>
          </w:p>
        </w:tc>
        <w:tc>
          <w:tcPr>
            <w:tcW w:w="1440" w:type="dxa"/>
            <w:tcBorders>
              <w:top w:val="nil"/>
              <w:left w:val="nil"/>
              <w:bottom w:val="single" w:sz="4" w:space="0" w:color="auto"/>
              <w:right w:val="single" w:sz="4" w:space="0" w:color="auto"/>
            </w:tcBorders>
            <w:shd w:val="clear" w:color="auto" w:fill="auto"/>
            <w:noWrap/>
            <w:vAlign w:val="bottom"/>
            <w:hideMark/>
          </w:tcPr>
          <w:p w:rsidR="00BF3442" w:rsidRDefault="00BF3442" w:rsidP="002F2A5E">
            <w:pPr>
              <w:rPr>
                <w:rFonts w:ascii="Latha" w:hAnsi="Latha" w:cs="Latha"/>
                <w:color w:val="000000"/>
                <w:sz w:val="20"/>
                <w:szCs w:val="20"/>
              </w:rPr>
            </w:pPr>
            <w:r>
              <w:rPr>
                <w:rFonts w:ascii="Latha" w:hAnsi="Latha" w:cs="Latha"/>
                <w:color w:val="000000"/>
                <w:sz w:val="20"/>
                <w:szCs w:val="20"/>
              </w:rPr>
              <w:t xml:space="preserve">    761.472 </w:t>
            </w:r>
          </w:p>
        </w:tc>
      </w:tr>
      <w:tr w:rsidR="00BF3442" w:rsidTr="002F2A5E">
        <w:trPr>
          <w:trHeight w:val="360"/>
          <w:jc w:val="center"/>
        </w:trPr>
        <w:tc>
          <w:tcPr>
            <w:tcW w:w="538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3442" w:rsidRDefault="00BF3442" w:rsidP="002F2A5E">
            <w:pPr>
              <w:jc w:val="center"/>
              <w:rPr>
                <w:rFonts w:ascii="Latha" w:hAnsi="Latha" w:cs="Latha"/>
                <w:color w:val="000000"/>
                <w:sz w:val="20"/>
                <w:szCs w:val="20"/>
              </w:rPr>
            </w:pPr>
            <w:r>
              <w:rPr>
                <w:rFonts w:ascii="Latha" w:hAnsi="Latha" w:cs="Latha"/>
                <w:color w:val="000000"/>
                <w:sz w:val="20"/>
                <w:szCs w:val="20"/>
              </w:rPr>
              <w:t>CBT (familia tipo - marzo 2019)</w:t>
            </w:r>
          </w:p>
        </w:tc>
        <w:tc>
          <w:tcPr>
            <w:tcW w:w="1440" w:type="dxa"/>
            <w:tcBorders>
              <w:top w:val="nil"/>
              <w:left w:val="nil"/>
              <w:bottom w:val="single" w:sz="4" w:space="0" w:color="auto"/>
              <w:right w:val="single" w:sz="4" w:space="0" w:color="auto"/>
            </w:tcBorders>
            <w:shd w:val="clear" w:color="auto" w:fill="auto"/>
            <w:noWrap/>
            <w:vAlign w:val="bottom"/>
            <w:hideMark/>
          </w:tcPr>
          <w:p w:rsidR="00BF3442" w:rsidRDefault="00BF3442" w:rsidP="002F2A5E">
            <w:pPr>
              <w:rPr>
                <w:rFonts w:ascii="Latha" w:hAnsi="Latha" w:cs="Latha"/>
                <w:color w:val="000000"/>
                <w:sz w:val="20"/>
                <w:szCs w:val="20"/>
              </w:rPr>
            </w:pPr>
            <w:r>
              <w:rPr>
                <w:rFonts w:ascii="Latha" w:hAnsi="Latha" w:cs="Latha"/>
                <w:color w:val="000000"/>
                <w:sz w:val="20"/>
                <w:szCs w:val="20"/>
              </w:rPr>
              <w:t xml:space="preserve">     28.751 </w:t>
            </w:r>
          </w:p>
        </w:tc>
      </w:tr>
      <w:tr w:rsidR="00BF3442" w:rsidTr="002F2A5E">
        <w:trPr>
          <w:trHeight w:val="360"/>
          <w:jc w:val="center"/>
        </w:trPr>
        <w:tc>
          <w:tcPr>
            <w:tcW w:w="538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3442" w:rsidRDefault="00BF3442" w:rsidP="002F2A5E">
            <w:pPr>
              <w:jc w:val="center"/>
              <w:rPr>
                <w:rFonts w:ascii="Latha" w:hAnsi="Latha" w:cs="Latha"/>
                <w:color w:val="000000"/>
                <w:sz w:val="20"/>
                <w:szCs w:val="20"/>
              </w:rPr>
            </w:pPr>
            <w:r>
              <w:rPr>
                <w:rFonts w:ascii="Latha" w:hAnsi="Latha" w:cs="Latha"/>
                <w:color w:val="000000"/>
                <w:sz w:val="20"/>
                <w:szCs w:val="20"/>
              </w:rPr>
              <w:t>CBT por año (familia tipo - marzo 2019)</w:t>
            </w:r>
          </w:p>
        </w:tc>
        <w:tc>
          <w:tcPr>
            <w:tcW w:w="1440" w:type="dxa"/>
            <w:tcBorders>
              <w:top w:val="nil"/>
              <w:left w:val="nil"/>
              <w:bottom w:val="single" w:sz="4" w:space="0" w:color="auto"/>
              <w:right w:val="single" w:sz="4" w:space="0" w:color="auto"/>
            </w:tcBorders>
            <w:shd w:val="clear" w:color="auto" w:fill="auto"/>
            <w:noWrap/>
            <w:vAlign w:val="bottom"/>
            <w:hideMark/>
          </w:tcPr>
          <w:p w:rsidR="00BF3442" w:rsidRDefault="00BF3442" w:rsidP="002F2A5E">
            <w:pPr>
              <w:rPr>
                <w:rFonts w:ascii="Latha" w:hAnsi="Latha" w:cs="Latha"/>
                <w:color w:val="000000"/>
                <w:sz w:val="20"/>
                <w:szCs w:val="20"/>
              </w:rPr>
            </w:pPr>
            <w:r>
              <w:rPr>
                <w:rFonts w:ascii="Latha" w:hAnsi="Latha" w:cs="Latha"/>
                <w:color w:val="000000"/>
                <w:sz w:val="20"/>
                <w:szCs w:val="20"/>
              </w:rPr>
              <w:t xml:space="preserve">    345.011 </w:t>
            </w:r>
          </w:p>
        </w:tc>
      </w:tr>
      <w:tr w:rsidR="00BF3442" w:rsidTr="002F2A5E">
        <w:trPr>
          <w:trHeight w:val="360"/>
          <w:jc w:val="center"/>
        </w:trPr>
        <w:tc>
          <w:tcPr>
            <w:tcW w:w="538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3442" w:rsidRDefault="00BF3442" w:rsidP="002F2A5E">
            <w:pPr>
              <w:jc w:val="center"/>
              <w:rPr>
                <w:rFonts w:ascii="Latha" w:hAnsi="Latha" w:cs="Latha"/>
                <w:color w:val="000000"/>
                <w:sz w:val="20"/>
                <w:szCs w:val="20"/>
              </w:rPr>
            </w:pPr>
            <w:r>
              <w:rPr>
                <w:rFonts w:ascii="Latha" w:hAnsi="Latha" w:cs="Latha"/>
                <w:color w:val="000000"/>
                <w:sz w:val="20"/>
                <w:szCs w:val="20"/>
              </w:rPr>
              <w:t>Cantidad de canastas familiares contenidas en las ganancias</w:t>
            </w:r>
          </w:p>
        </w:tc>
        <w:tc>
          <w:tcPr>
            <w:tcW w:w="1440" w:type="dxa"/>
            <w:tcBorders>
              <w:top w:val="nil"/>
              <w:left w:val="nil"/>
              <w:bottom w:val="single" w:sz="4" w:space="0" w:color="auto"/>
              <w:right w:val="single" w:sz="4" w:space="0" w:color="auto"/>
            </w:tcBorders>
            <w:shd w:val="clear" w:color="auto" w:fill="auto"/>
            <w:noWrap/>
            <w:vAlign w:val="bottom"/>
            <w:hideMark/>
          </w:tcPr>
          <w:p w:rsidR="00BF3442" w:rsidRDefault="00BF3442" w:rsidP="002F2A5E">
            <w:pPr>
              <w:rPr>
                <w:rFonts w:ascii="Latha" w:hAnsi="Latha" w:cs="Latha"/>
                <w:color w:val="000000"/>
                <w:sz w:val="20"/>
                <w:szCs w:val="20"/>
              </w:rPr>
            </w:pPr>
            <w:r>
              <w:rPr>
                <w:rFonts w:ascii="Latha" w:hAnsi="Latha" w:cs="Latha"/>
                <w:color w:val="000000"/>
                <w:sz w:val="20"/>
                <w:szCs w:val="20"/>
              </w:rPr>
              <w:t xml:space="preserve">   2.207.095 </w:t>
            </w:r>
          </w:p>
        </w:tc>
      </w:tr>
      <w:tr w:rsidR="00BF3442" w:rsidTr="002F2A5E">
        <w:trPr>
          <w:trHeight w:val="360"/>
          <w:jc w:val="center"/>
        </w:trPr>
        <w:tc>
          <w:tcPr>
            <w:tcW w:w="538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3442" w:rsidRDefault="00BF3442" w:rsidP="002F2A5E">
            <w:pPr>
              <w:jc w:val="center"/>
              <w:rPr>
                <w:rFonts w:ascii="Latha" w:hAnsi="Latha" w:cs="Latha"/>
                <w:color w:val="000000"/>
                <w:sz w:val="20"/>
                <w:szCs w:val="20"/>
              </w:rPr>
            </w:pPr>
            <w:r>
              <w:rPr>
                <w:rFonts w:ascii="Latha" w:hAnsi="Latha" w:cs="Latha"/>
                <w:color w:val="000000"/>
                <w:sz w:val="20"/>
                <w:szCs w:val="20"/>
              </w:rPr>
              <w:t>Cantidad de personas que podrían salir de la pobreza</w:t>
            </w:r>
          </w:p>
        </w:tc>
        <w:tc>
          <w:tcPr>
            <w:tcW w:w="1440" w:type="dxa"/>
            <w:tcBorders>
              <w:top w:val="nil"/>
              <w:left w:val="nil"/>
              <w:bottom w:val="single" w:sz="4" w:space="0" w:color="auto"/>
              <w:right w:val="single" w:sz="4" w:space="0" w:color="auto"/>
            </w:tcBorders>
            <w:shd w:val="clear" w:color="auto" w:fill="auto"/>
            <w:noWrap/>
            <w:vAlign w:val="bottom"/>
            <w:hideMark/>
          </w:tcPr>
          <w:p w:rsidR="00BF3442" w:rsidRDefault="00BF3442" w:rsidP="002F2A5E">
            <w:pPr>
              <w:rPr>
                <w:rFonts w:ascii="Latha" w:hAnsi="Latha" w:cs="Latha"/>
                <w:color w:val="000000"/>
                <w:sz w:val="20"/>
                <w:szCs w:val="20"/>
              </w:rPr>
            </w:pPr>
            <w:r>
              <w:rPr>
                <w:rFonts w:ascii="Latha" w:hAnsi="Latha" w:cs="Latha"/>
                <w:color w:val="000000"/>
                <w:sz w:val="20"/>
                <w:szCs w:val="20"/>
              </w:rPr>
              <w:t xml:space="preserve">   8.828.380 </w:t>
            </w:r>
          </w:p>
        </w:tc>
      </w:tr>
    </w:tbl>
    <w:p w:rsidR="00BF3442" w:rsidRDefault="00BF3442" w:rsidP="00BF3442">
      <w:pPr>
        <w:jc w:val="both"/>
        <w:rPr>
          <w:rFonts w:ascii="Arial" w:hAnsi="Arial" w:cs="Arial"/>
          <w:lang w:val="es-ES"/>
        </w:rPr>
      </w:pPr>
    </w:p>
    <w:p w:rsidR="00BF3442" w:rsidRPr="000E7F79" w:rsidRDefault="00BF3442" w:rsidP="00BF3442">
      <w:pPr>
        <w:jc w:val="both"/>
        <w:rPr>
          <w:rFonts w:ascii="Arial" w:hAnsi="Arial" w:cs="Arial"/>
          <w:bCs/>
          <w:sz w:val="18"/>
          <w:lang w:val="es-ES"/>
        </w:rPr>
      </w:pPr>
      <w:r w:rsidRPr="000E7F79">
        <w:rPr>
          <w:rFonts w:ascii="Arial" w:hAnsi="Arial" w:cs="Arial"/>
          <w:b/>
          <w:sz w:val="18"/>
          <w:lang w:val="es-ES"/>
        </w:rPr>
        <w:t xml:space="preserve">Fuente: </w:t>
      </w:r>
      <w:r w:rsidRPr="000E7F79">
        <w:rPr>
          <w:rFonts w:ascii="Arial" w:hAnsi="Arial" w:cs="Arial"/>
          <w:bCs/>
          <w:sz w:val="18"/>
          <w:lang w:val="es-ES"/>
        </w:rPr>
        <w:t>Elaboración propia en base al ranking de exportadoras de la revista Prensa Económica (Año 2019) y datos del INDEC, Condiciones de Vida.</w:t>
      </w:r>
    </w:p>
    <w:p w:rsidR="00BF3442" w:rsidRPr="000E7F79" w:rsidRDefault="00BF3442" w:rsidP="00BF3442">
      <w:pPr>
        <w:jc w:val="both"/>
        <w:rPr>
          <w:rFonts w:ascii="Arial" w:hAnsi="Arial" w:cs="Arial"/>
          <w:bCs/>
          <w:lang w:val="es-ES"/>
        </w:rPr>
      </w:pPr>
    </w:p>
    <w:p w:rsidR="00BF3442" w:rsidRDefault="00BF3442" w:rsidP="009E3B2C">
      <w:pPr>
        <w:jc w:val="both"/>
        <w:rPr>
          <w:color w:val="000000"/>
          <w:lang w:val="es-ES" w:eastAsia="es-ES"/>
        </w:rPr>
      </w:pPr>
    </w:p>
    <w:p w:rsidR="00BF3442" w:rsidRDefault="00BF3442" w:rsidP="009E3B2C">
      <w:pPr>
        <w:jc w:val="both"/>
        <w:rPr>
          <w:color w:val="000000"/>
          <w:lang w:val="es-ES" w:eastAsia="es-ES"/>
        </w:rPr>
      </w:pPr>
    </w:p>
    <w:p w:rsidR="007879DC" w:rsidRDefault="007879DC" w:rsidP="009E3B2C">
      <w:pPr>
        <w:jc w:val="both"/>
        <w:rPr>
          <w:color w:val="000000"/>
          <w:lang w:val="es-ES" w:eastAsia="es-ES"/>
        </w:rPr>
      </w:pPr>
      <w:r>
        <w:rPr>
          <w:color w:val="000000"/>
          <w:lang w:val="es-ES" w:eastAsia="es-ES"/>
        </w:rPr>
        <w:tab/>
      </w:r>
      <w:r w:rsidR="0025134D">
        <w:rPr>
          <w:color w:val="000000"/>
          <w:lang w:val="es-ES" w:eastAsia="es-ES"/>
        </w:rPr>
        <w:t>Cabe destacar que una</w:t>
      </w:r>
      <w:r w:rsidR="006C47F4">
        <w:rPr>
          <w:color w:val="000000"/>
          <w:lang w:val="es-ES" w:eastAsia="es-ES"/>
        </w:rPr>
        <w:t xml:space="preserve"> singularidad de este período consiste en </w:t>
      </w:r>
      <w:r w:rsidR="00B04138">
        <w:rPr>
          <w:color w:val="000000"/>
          <w:lang w:val="es-ES" w:eastAsia="es-ES"/>
        </w:rPr>
        <w:t>el mayor énfasis que el proceso de regresividad distributiva ha tenido en la pauperización de las condiciones materiales de los sectores más vulnerables. Lo anterior se expresa en el aumento superlativo que han tenido</w:t>
      </w:r>
      <w:r w:rsidR="006C47F4">
        <w:rPr>
          <w:color w:val="000000"/>
          <w:lang w:val="es-ES" w:eastAsia="es-ES"/>
        </w:rPr>
        <w:t xml:space="preserve"> </w:t>
      </w:r>
      <w:r w:rsidR="00B04138">
        <w:rPr>
          <w:color w:val="000000"/>
          <w:lang w:val="es-ES" w:eastAsia="es-ES"/>
        </w:rPr>
        <w:t>l</w:t>
      </w:r>
      <w:r w:rsidR="00AB58C0">
        <w:rPr>
          <w:color w:val="000000"/>
          <w:lang w:val="es-ES" w:eastAsia="es-ES"/>
        </w:rPr>
        <w:t xml:space="preserve">as canastas básicas que delimitan las líneas de pobreza </w:t>
      </w:r>
      <w:r w:rsidR="006C47F4">
        <w:rPr>
          <w:color w:val="000000"/>
          <w:lang w:val="es-ES" w:eastAsia="es-ES"/>
        </w:rPr>
        <w:t xml:space="preserve">e indigencia </w:t>
      </w:r>
      <w:r w:rsidR="00B04138">
        <w:rPr>
          <w:color w:val="000000"/>
          <w:lang w:val="es-ES" w:eastAsia="es-ES"/>
        </w:rPr>
        <w:t>-</w:t>
      </w:r>
      <w:r w:rsidR="00AB58C0">
        <w:rPr>
          <w:color w:val="000000"/>
          <w:lang w:val="es-ES" w:eastAsia="es-ES"/>
        </w:rPr>
        <w:t>de subsistencia</w:t>
      </w:r>
      <w:r w:rsidR="00B04138">
        <w:rPr>
          <w:color w:val="000000"/>
          <w:lang w:val="es-ES" w:eastAsia="es-ES"/>
        </w:rPr>
        <w:t>- con el resto de los bienes y servicios de la</w:t>
      </w:r>
      <w:r w:rsidR="00AB58C0">
        <w:rPr>
          <w:color w:val="000000"/>
          <w:lang w:val="es-ES" w:eastAsia="es-ES"/>
        </w:rPr>
        <w:t xml:space="preserve"> </w:t>
      </w:r>
      <w:r w:rsidR="00B04138">
        <w:rPr>
          <w:color w:val="000000"/>
          <w:lang w:val="es-ES" w:eastAsia="es-ES"/>
        </w:rPr>
        <w:t>economía</w:t>
      </w:r>
      <w:r w:rsidR="007205D5">
        <w:rPr>
          <w:color w:val="000000"/>
          <w:lang w:val="es-ES" w:eastAsia="es-ES"/>
        </w:rPr>
        <w:t xml:space="preserve">. </w:t>
      </w:r>
      <w:r w:rsidR="00B04138">
        <w:rPr>
          <w:color w:val="000000"/>
          <w:lang w:val="es-ES" w:eastAsia="es-ES"/>
        </w:rPr>
        <w:t>Así, l</w:t>
      </w:r>
      <w:r w:rsidR="007205D5">
        <w:rPr>
          <w:color w:val="000000"/>
          <w:lang w:val="es-ES" w:eastAsia="es-ES"/>
        </w:rPr>
        <w:t>a canasta básica total aumentó un 60,9% mientras la alimentaria lo hizo en un 64,2%</w:t>
      </w:r>
      <w:r w:rsidR="00B04138">
        <w:rPr>
          <w:color w:val="000000"/>
          <w:lang w:val="es-ES" w:eastAsia="es-ES"/>
        </w:rPr>
        <w:t>.</w:t>
      </w:r>
      <w:r w:rsidR="00717C1E">
        <w:rPr>
          <w:color w:val="000000"/>
          <w:lang w:val="es-ES" w:eastAsia="es-ES"/>
        </w:rPr>
        <w:t xml:space="preserve"> </w:t>
      </w:r>
      <w:r w:rsidR="001C794B">
        <w:rPr>
          <w:color w:val="000000"/>
          <w:lang w:val="es-ES" w:eastAsia="es-ES"/>
        </w:rPr>
        <w:t xml:space="preserve">Se observa entonces que para que una familia no sea pobre </w:t>
      </w:r>
      <w:r w:rsidR="003922F8">
        <w:rPr>
          <w:color w:val="000000"/>
          <w:lang w:val="es-ES" w:eastAsia="es-ES"/>
        </w:rPr>
        <w:t xml:space="preserve">(a marzo 2019) </w:t>
      </w:r>
      <w:r w:rsidR="001C794B">
        <w:rPr>
          <w:color w:val="000000"/>
          <w:lang w:val="es-ES" w:eastAsia="es-ES"/>
        </w:rPr>
        <w:t>se precisan de $</w:t>
      </w:r>
      <w:r w:rsidR="003922F8">
        <w:rPr>
          <w:color w:val="000000"/>
          <w:lang w:val="es-ES" w:eastAsia="es-ES"/>
        </w:rPr>
        <w:t>28.751</w:t>
      </w:r>
      <w:r w:rsidR="001C794B">
        <w:rPr>
          <w:color w:val="000000"/>
          <w:lang w:val="es-ES" w:eastAsia="es-ES"/>
        </w:rPr>
        <w:t xml:space="preserve"> y</w:t>
      </w:r>
      <w:r w:rsidR="003922F8">
        <w:rPr>
          <w:color w:val="000000"/>
          <w:lang w:val="es-ES" w:eastAsia="es-ES"/>
        </w:rPr>
        <w:t xml:space="preserve"> $11.640</w:t>
      </w:r>
      <w:r w:rsidR="001C794B">
        <w:rPr>
          <w:color w:val="000000"/>
          <w:lang w:val="es-ES" w:eastAsia="es-ES"/>
        </w:rPr>
        <w:t xml:space="preserve"> para no ser indigente</w:t>
      </w:r>
      <w:r w:rsidR="003922F8">
        <w:rPr>
          <w:color w:val="000000"/>
          <w:lang w:val="es-ES" w:eastAsia="es-ES"/>
        </w:rPr>
        <w:t>. Destáquese que para este mismo período el ingreso medio del conjunto de ocupados fue de apenas $20.405.</w:t>
      </w:r>
    </w:p>
    <w:p w:rsidR="00806244" w:rsidRDefault="00806244" w:rsidP="009E3B2C">
      <w:pPr>
        <w:jc w:val="both"/>
        <w:rPr>
          <w:color w:val="000000"/>
          <w:lang w:val="es-ES" w:eastAsia="es-ES"/>
        </w:rPr>
      </w:pPr>
    </w:p>
    <w:p w:rsidR="000A2A71" w:rsidRDefault="000A2A71" w:rsidP="009E3B2C">
      <w:pPr>
        <w:jc w:val="both"/>
        <w:rPr>
          <w:color w:val="000000"/>
          <w:lang w:val="es-ES" w:eastAsia="es-ES"/>
        </w:rPr>
      </w:pPr>
    </w:p>
    <w:p w:rsidR="000A2A71" w:rsidRDefault="000A2A71" w:rsidP="009E3B2C">
      <w:pPr>
        <w:jc w:val="both"/>
        <w:rPr>
          <w:color w:val="000000"/>
          <w:lang w:val="es-ES" w:eastAsia="es-ES"/>
        </w:rPr>
      </w:pPr>
    </w:p>
    <w:p w:rsidR="000A2A71" w:rsidRDefault="000A2A71" w:rsidP="009E3B2C">
      <w:pPr>
        <w:jc w:val="both"/>
        <w:rPr>
          <w:color w:val="000000"/>
          <w:lang w:val="es-ES" w:eastAsia="es-ES"/>
        </w:rPr>
      </w:pPr>
    </w:p>
    <w:p w:rsidR="000A2A71" w:rsidRDefault="000A2A71" w:rsidP="009E3B2C">
      <w:pPr>
        <w:jc w:val="both"/>
        <w:rPr>
          <w:color w:val="000000"/>
          <w:lang w:val="es-ES" w:eastAsia="es-ES"/>
        </w:rPr>
      </w:pPr>
    </w:p>
    <w:p w:rsidR="00BF3442" w:rsidRDefault="00BF3442" w:rsidP="009E3B2C">
      <w:pPr>
        <w:jc w:val="both"/>
        <w:rPr>
          <w:color w:val="000000"/>
          <w:lang w:val="es-ES" w:eastAsia="es-ES"/>
        </w:rPr>
      </w:pPr>
    </w:p>
    <w:p w:rsidR="00BF3442" w:rsidRDefault="00BF3442" w:rsidP="009E3B2C">
      <w:pPr>
        <w:jc w:val="both"/>
        <w:rPr>
          <w:color w:val="000000"/>
          <w:lang w:val="es-ES" w:eastAsia="es-ES"/>
        </w:rPr>
      </w:pPr>
    </w:p>
    <w:p w:rsidR="00BF3442" w:rsidRDefault="00BF3442" w:rsidP="009E3B2C">
      <w:pPr>
        <w:jc w:val="both"/>
        <w:rPr>
          <w:color w:val="000000"/>
          <w:lang w:val="es-ES" w:eastAsia="es-ES"/>
        </w:rPr>
      </w:pPr>
    </w:p>
    <w:p w:rsidR="00BF3442" w:rsidRDefault="00BF3442" w:rsidP="009E3B2C">
      <w:pPr>
        <w:jc w:val="both"/>
        <w:rPr>
          <w:color w:val="000000"/>
          <w:lang w:val="es-ES" w:eastAsia="es-ES"/>
        </w:rPr>
      </w:pPr>
    </w:p>
    <w:p w:rsidR="00BF3442" w:rsidRDefault="00BF3442" w:rsidP="009E3B2C">
      <w:pPr>
        <w:jc w:val="both"/>
        <w:rPr>
          <w:color w:val="000000"/>
          <w:lang w:val="es-ES" w:eastAsia="es-ES"/>
        </w:rPr>
      </w:pPr>
    </w:p>
    <w:p w:rsidR="00BF3442" w:rsidRDefault="00BF3442" w:rsidP="009E3B2C">
      <w:pPr>
        <w:jc w:val="both"/>
        <w:rPr>
          <w:color w:val="000000"/>
          <w:lang w:val="es-ES" w:eastAsia="es-ES"/>
        </w:rPr>
      </w:pPr>
    </w:p>
    <w:p w:rsidR="00BF3442" w:rsidRDefault="00BF3442" w:rsidP="009E3B2C">
      <w:pPr>
        <w:jc w:val="both"/>
        <w:rPr>
          <w:color w:val="000000"/>
          <w:lang w:val="es-ES" w:eastAsia="es-ES"/>
        </w:rPr>
      </w:pPr>
    </w:p>
    <w:p w:rsidR="00BF3442" w:rsidRDefault="00BF3442" w:rsidP="009E3B2C">
      <w:pPr>
        <w:jc w:val="both"/>
        <w:rPr>
          <w:color w:val="000000"/>
          <w:lang w:val="es-ES" w:eastAsia="es-ES"/>
        </w:rPr>
      </w:pPr>
    </w:p>
    <w:p w:rsidR="00806244" w:rsidRDefault="00806244" w:rsidP="009E3B2C">
      <w:pPr>
        <w:jc w:val="both"/>
        <w:rPr>
          <w:color w:val="000000"/>
          <w:lang w:val="es-ES" w:eastAsia="es-ES"/>
        </w:rPr>
      </w:pPr>
    </w:p>
    <w:p w:rsidR="00102B93" w:rsidRDefault="00102B93" w:rsidP="009E3B2C">
      <w:pPr>
        <w:jc w:val="both"/>
        <w:rPr>
          <w:color w:val="000000"/>
          <w:lang w:val="es-ES" w:eastAsia="es-ES"/>
        </w:rPr>
      </w:pPr>
      <w:r w:rsidRPr="00102B93">
        <w:rPr>
          <w:rFonts w:ascii="Arial" w:hAnsi="Arial" w:cs="Arial"/>
          <w:b/>
          <w:bCs/>
          <w:color w:val="000000"/>
          <w:sz w:val="20"/>
          <w:szCs w:val="20"/>
          <w:lang w:val="es-ES" w:eastAsia="es-ES"/>
        </w:rPr>
        <w:t>Cuadro N</w:t>
      </w:r>
      <w:r>
        <w:rPr>
          <w:rFonts w:ascii="Arial" w:hAnsi="Arial" w:cs="Arial"/>
          <w:b/>
          <w:bCs/>
          <w:color w:val="000000"/>
          <w:sz w:val="20"/>
          <w:szCs w:val="20"/>
          <w:lang w:val="es-ES" w:eastAsia="es-ES"/>
        </w:rPr>
        <w:t xml:space="preserve"> </w:t>
      </w:r>
      <w:r w:rsidRPr="00102B93">
        <w:rPr>
          <w:rFonts w:ascii="Arial" w:hAnsi="Arial" w:cs="Arial"/>
          <w:b/>
          <w:bCs/>
          <w:color w:val="000000"/>
          <w:sz w:val="20"/>
          <w:szCs w:val="20"/>
          <w:lang w:val="es-ES" w:eastAsia="es-ES"/>
        </w:rPr>
        <w:t>º</w:t>
      </w:r>
      <w:r>
        <w:rPr>
          <w:rFonts w:ascii="Arial" w:hAnsi="Arial" w:cs="Arial"/>
          <w:b/>
          <w:bCs/>
          <w:color w:val="000000"/>
          <w:sz w:val="20"/>
          <w:szCs w:val="20"/>
          <w:lang w:val="es-ES" w:eastAsia="es-ES"/>
        </w:rPr>
        <w:t xml:space="preserve"> </w:t>
      </w:r>
      <w:r w:rsidR="00FE224E">
        <w:rPr>
          <w:rFonts w:ascii="Arial" w:hAnsi="Arial" w:cs="Arial"/>
          <w:b/>
          <w:bCs/>
          <w:color w:val="000000"/>
          <w:sz w:val="20"/>
          <w:szCs w:val="20"/>
          <w:lang w:val="es-ES" w:eastAsia="es-ES"/>
        </w:rPr>
        <w:t>4</w:t>
      </w:r>
      <w:r>
        <w:rPr>
          <w:rFonts w:ascii="Arial" w:hAnsi="Arial" w:cs="Arial"/>
          <w:b/>
          <w:bCs/>
          <w:color w:val="000000"/>
          <w:sz w:val="20"/>
          <w:szCs w:val="20"/>
          <w:lang w:val="es-ES" w:eastAsia="es-ES"/>
        </w:rPr>
        <w:t xml:space="preserve">: </w:t>
      </w:r>
      <w:r w:rsidR="00C606C5">
        <w:rPr>
          <w:rFonts w:ascii="Arial" w:hAnsi="Arial" w:cs="Arial"/>
          <w:b/>
          <w:bCs/>
          <w:color w:val="000000"/>
          <w:sz w:val="20"/>
          <w:szCs w:val="20"/>
          <w:lang w:val="es-ES" w:eastAsia="es-ES"/>
        </w:rPr>
        <w:t xml:space="preserve">Evolución </w:t>
      </w:r>
      <w:r w:rsidR="00A20021">
        <w:rPr>
          <w:rFonts w:ascii="Arial" w:hAnsi="Arial" w:cs="Arial"/>
          <w:b/>
          <w:bCs/>
          <w:color w:val="000000"/>
          <w:sz w:val="20"/>
          <w:szCs w:val="20"/>
          <w:lang w:val="es-ES" w:eastAsia="es-ES"/>
        </w:rPr>
        <w:t>de la canasta básica total y alimentaria. Marzo 2018 – Marzo 2019.</w:t>
      </w:r>
    </w:p>
    <w:p w:rsidR="00806244" w:rsidRDefault="00806244" w:rsidP="003922F8">
      <w:pPr>
        <w:jc w:val="center"/>
        <w:rPr>
          <w:color w:val="000000"/>
          <w:lang w:val="es-ES" w:eastAsia="es-ES"/>
        </w:rPr>
      </w:pPr>
      <w:r w:rsidRPr="00806244">
        <w:rPr>
          <w:noProof/>
          <w:color w:val="000000"/>
          <w:lang w:eastAsia="es-AR"/>
        </w:rPr>
        <w:drawing>
          <wp:inline distT="0" distB="0" distL="0" distR="0">
            <wp:extent cx="3186332" cy="3164204"/>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3198770" cy="3176555"/>
                    </a:xfrm>
                    <a:prstGeom prst="rect">
                      <a:avLst/>
                    </a:prstGeom>
                  </pic:spPr>
                </pic:pic>
              </a:graphicData>
            </a:graphic>
          </wp:inline>
        </w:drawing>
      </w:r>
    </w:p>
    <w:p w:rsidR="000A2A71" w:rsidRDefault="003922F8" w:rsidP="009E3B2C">
      <w:pPr>
        <w:jc w:val="both"/>
        <w:rPr>
          <w:color w:val="000000"/>
          <w:lang w:val="es-ES" w:eastAsia="es-ES"/>
        </w:rPr>
      </w:pPr>
      <w:r>
        <w:rPr>
          <w:color w:val="000000"/>
          <w:lang w:val="es-ES" w:eastAsia="es-ES"/>
        </w:rPr>
        <w:tab/>
      </w:r>
    </w:p>
    <w:p w:rsidR="000A2A71" w:rsidRDefault="000A2A71" w:rsidP="009E3B2C">
      <w:pPr>
        <w:jc w:val="both"/>
        <w:rPr>
          <w:color w:val="000000"/>
          <w:lang w:val="es-ES" w:eastAsia="es-ES"/>
        </w:rPr>
      </w:pPr>
    </w:p>
    <w:p w:rsidR="003C5325" w:rsidRDefault="004344AA" w:rsidP="009E3B2C">
      <w:pPr>
        <w:jc w:val="both"/>
        <w:rPr>
          <w:color w:val="000000"/>
          <w:lang w:val="es-ES" w:eastAsia="es-ES"/>
        </w:rPr>
      </w:pPr>
      <w:r>
        <w:rPr>
          <w:color w:val="000000"/>
          <w:lang w:val="es-ES" w:eastAsia="es-ES"/>
        </w:rPr>
        <w:tab/>
      </w:r>
      <w:r w:rsidR="003C5325">
        <w:rPr>
          <w:color w:val="000000"/>
          <w:lang w:val="es-ES" w:eastAsia="es-ES"/>
        </w:rPr>
        <w:t>Durante los últimos seis meses, desde el tercer trimestre del año 2018 al primer trimestre 2019 (trimestres comparables entre sí ya que cuenta</w:t>
      </w:r>
      <w:r w:rsidR="00B7300E">
        <w:rPr>
          <w:color w:val="000000"/>
          <w:lang w:val="es-ES" w:eastAsia="es-ES"/>
        </w:rPr>
        <w:t>n ambos</w:t>
      </w:r>
      <w:r w:rsidR="00101E34">
        <w:rPr>
          <w:color w:val="000000"/>
          <w:lang w:val="es-ES" w:eastAsia="es-ES"/>
        </w:rPr>
        <w:t xml:space="preserve"> </w:t>
      </w:r>
      <w:r w:rsidR="003C5325">
        <w:rPr>
          <w:color w:val="000000"/>
          <w:lang w:val="es-ES" w:eastAsia="es-ES"/>
        </w:rPr>
        <w:t>con el efecto</w:t>
      </w:r>
      <w:r w:rsidR="00101E34">
        <w:rPr>
          <w:color w:val="000000"/>
          <w:lang w:val="es-ES" w:eastAsia="es-ES"/>
        </w:rPr>
        <w:t xml:space="preserve"> pleno</w:t>
      </w:r>
      <w:r w:rsidR="003C5325">
        <w:rPr>
          <w:color w:val="000000"/>
          <w:lang w:val="es-ES" w:eastAsia="es-ES"/>
        </w:rPr>
        <w:t xml:space="preserve"> del aguinaldo)</w:t>
      </w:r>
      <w:r w:rsidR="001C75C0">
        <w:rPr>
          <w:color w:val="000000"/>
          <w:lang w:val="es-ES" w:eastAsia="es-ES"/>
        </w:rPr>
        <w:t xml:space="preserve"> se concentró el período de mayor deterioro: de los casi cuatro millones de pobres agregados en el último año, 2,7 millones se originaron en el último semestre. En este período la tasa de pobreza pasó del 28,1%</w:t>
      </w:r>
      <w:r w:rsidR="00101E34">
        <w:rPr>
          <w:color w:val="000000"/>
          <w:lang w:val="es-ES" w:eastAsia="es-ES"/>
        </w:rPr>
        <w:t xml:space="preserve"> al 34,1%</w:t>
      </w:r>
      <w:r w:rsidR="00F87B0B">
        <w:rPr>
          <w:color w:val="000000"/>
          <w:lang w:val="es-ES" w:eastAsia="es-ES"/>
        </w:rPr>
        <w:t>, un aumento que significó 6 p.p. más en la medición</w:t>
      </w:r>
      <w:r w:rsidR="00101E34">
        <w:rPr>
          <w:color w:val="000000"/>
          <w:lang w:val="es-ES" w:eastAsia="es-ES"/>
        </w:rPr>
        <w:t>.</w:t>
      </w:r>
      <w:r w:rsidR="00F87B0B">
        <w:rPr>
          <w:color w:val="000000"/>
          <w:lang w:val="es-ES" w:eastAsia="es-ES"/>
        </w:rPr>
        <w:t xml:space="preserve"> Por su parte, l</w:t>
      </w:r>
      <w:r w:rsidR="00101E34">
        <w:rPr>
          <w:color w:val="000000"/>
          <w:lang w:val="es-ES" w:eastAsia="es-ES"/>
        </w:rPr>
        <w:t>a mayor cantidad de indigentes durante este mismo período fue de más de medio millón.</w:t>
      </w:r>
      <w:r w:rsidR="00397CA3">
        <w:rPr>
          <w:color w:val="000000"/>
          <w:lang w:val="es-ES" w:eastAsia="es-ES"/>
        </w:rPr>
        <w:t xml:space="preserve"> </w:t>
      </w:r>
    </w:p>
    <w:p w:rsidR="00806244" w:rsidRDefault="00806244" w:rsidP="009E3B2C">
      <w:pPr>
        <w:jc w:val="both"/>
        <w:rPr>
          <w:color w:val="000000"/>
          <w:lang w:val="es-ES" w:eastAsia="es-ES"/>
        </w:rPr>
      </w:pPr>
    </w:p>
    <w:p w:rsidR="00806244" w:rsidRDefault="00A36531" w:rsidP="009E3B2C">
      <w:pPr>
        <w:jc w:val="both"/>
        <w:rPr>
          <w:color w:val="000000"/>
          <w:lang w:val="es-ES" w:eastAsia="es-ES"/>
        </w:rPr>
      </w:pPr>
      <w:r>
        <w:rPr>
          <w:color w:val="000000"/>
          <w:lang w:val="es-ES" w:eastAsia="es-ES"/>
        </w:rPr>
        <w:tab/>
        <w:t>De esta manera, el gobierno de Macri demuestra</w:t>
      </w:r>
      <w:r w:rsidR="00AC1BC9">
        <w:rPr>
          <w:color w:val="000000"/>
          <w:lang w:val="es-ES" w:eastAsia="es-ES"/>
        </w:rPr>
        <w:t>,</w:t>
      </w:r>
      <w:r>
        <w:rPr>
          <w:color w:val="000000"/>
          <w:lang w:val="es-ES" w:eastAsia="es-ES"/>
        </w:rPr>
        <w:t xml:space="preserve"> una vez</w:t>
      </w:r>
      <w:r w:rsidR="00AC1BC9">
        <w:rPr>
          <w:color w:val="000000"/>
          <w:lang w:val="es-ES" w:eastAsia="es-ES"/>
        </w:rPr>
        <w:t xml:space="preserve"> más,</w:t>
      </w:r>
      <w:r>
        <w:rPr>
          <w:color w:val="000000"/>
          <w:lang w:val="es-ES" w:eastAsia="es-ES"/>
        </w:rPr>
        <w:t xml:space="preserve"> su absoluto </w:t>
      </w:r>
      <w:r w:rsidR="005A4535">
        <w:rPr>
          <w:color w:val="000000"/>
          <w:lang w:val="es-ES" w:eastAsia="es-ES"/>
        </w:rPr>
        <w:t xml:space="preserve">fracaso </w:t>
      </w:r>
      <w:r w:rsidR="00AC1BC9">
        <w:rPr>
          <w:color w:val="000000"/>
          <w:lang w:val="es-ES" w:eastAsia="es-ES"/>
        </w:rPr>
        <w:t>cuando en esta ocasión</w:t>
      </w:r>
      <w:r w:rsidR="005A4535">
        <w:rPr>
          <w:color w:val="000000"/>
          <w:lang w:val="es-ES" w:eastAsia="es-ES"/>
        </w:rPr>
        <w:t xml:space="preserve"> considera</w:t>
      </w:r>
      <w:r w:rsidR="00AC1BC9">
        <w:rPr>
          <w:color w:val="000000"/>
          <w:lang w:val="es-ES" w:eastAsia="es-ES"/>
        </w:rPr>
        <w:t>mos los efectos sociales de sus</w:t>
      </w:r>
      <w:r w:rsidR="005A4535">
        <w:rPr>
          <w:color w:val="000000"/>
          <w:lang w:val="es-ES" w:eastAsia="es-ES"/>
        </w:rPr>
        <w:t xml:space="preserve"> cuatro años de </w:t>
      </w:r>
      <w:r w:rsidR="00AC1BC9">
        <w:rPr>
          <w:color w:val="000000"/>
          <w:lang w:val="es-ES" w:eastAsia="es-ES"/>
        </w:rPr>
        <w:t>gestión y</w:t>
      </w:r>
      <w:r w:rsidR="005A4535">
        <w:rPr>
          <w:color w:val="000000"/>
          <w:lang w:val="es-ES" w:eastAsia="es-ES"/>
        </w:rPr>
        <w:t xml:space="preserve"> </w:t>
      </w:r>
      <w:r w:rsidR="00AC1BC9">
        <w:rPr>
          <w:color w:val="000000"/>
          <w:lang w:val="es-ES" w:eastAsia="es-ES"/>
        </w:rPr>
        <w:t xml:space="preserve">despliegue </w:t>
      </w:r>
      <w:r w:rsidR="005A4535">
        <w:rPr>
          <w:color w:val="000000"/>
          <w:lang w:val="es-ES" w:eastAsia="es-ES"/>
        </w:rPr>
        <w:t>de políticas económicas</w:t>
      </w:r>
      <w:r w:rsidR="00AC1BC9">
        <w:rPr>
          <w:color w:val="000000"/>
          <w:lang w:val="es-ES" w:eastAsia="es-ES"/>
        </w:rPr>
        <w:t xml:space="preserve"> desreguladoras.</w:t>
      </w:r>
      <w:r w:rsidR="005A4535">
        <w:rPr>
          <w:color w:val="000000"/>
          <w:lang w:val="es-ES" w:eastAsia="es-ES"/>
        </w:rPr>
        <w:t xml:space="preserve"> </w:t>
      </w:r>
      <w:r w:rsidR="00AC1BC9">
        <w:rPr>
          <w:color w:val="000000"/>
          <w:lang w:val="es-ES" w:eastAsia="es-ES"/>
        </w:rPr>
        <w:t>E</w:t>
      </w:r>
      <w:r w:rsidR="005A4535">
        <w:rPr>
          <w:color w:val="000000"/>
          <w:lang w:val="es-ES" w:eastAsia="es-ES"/>
        </w:rPr>
        <w:t xml:space="preserve">l resultado es un aumento de casi </w:t>
      </w:r>
      <w:r w:rsidR="002F2725">
        <w:rPr>
          <w:color w:val="000000"/>
          <w:lang w:val="es-ES" w:eastAsia="es-ES"/>
        </w:rPr>
        <w:t xml:space="preserve">tres millones </w:t>
      </w:r>
      <w:r w:rsidR="00AC1BC9">
        <w:rPr>
          <w:color w:val="000000"/>
          <w:lang w:val="es-ES" w:eastAsia="es-ES"/>
        </w:rPr>
        <w:t>de personas pobres y 600 mil indigentes más.</w:t>
      </w:r>
    </w:p>
    <w:p w:rsidR="003C5325" w:rsidRDefault="003C5325" w:rsidP="009E3B2C">
      <w:pPr>
        <w:jc w:val="both"/>
        <w:rPr>
          <w:color w:val="000000"/>
          <w:lang w:val="es-ES" w:eastAsia="es-ES"/>
        </w:rPr>
      </w:pPr>
    </w:p>
    <w:p w:rsidR="003B2926" w:rsidRDefault="003B2926" w:rsidP="009E3B2C">
      <w:pPr>
        <w:jc w:val="both"/>
        <w:rPr>
          <w:color w:val="000000"/>
          <w:lang w:val="es-ES" w:eastAsia="es-ES"/>
        </w:rPr>
      </w:pPr>
    </w:p>
    <w:p w:rsidR="00806244" w:rsidRDefault="00806244" w:rsidP="009E3B2C">
      <w:pPr>
        <w:jc w:val="both"/>
        <w:rPr>
          <w:rFonts w:ascii="Arial" w:hAnsi="Arial" w:cs="Arial"/>
          <w:b/>
          <w:bCs/>
          <w:color w:val="000000"/>
          <w:sz w:val="20"/>
          <w:szCs w:val="20"/>
          <w:lang w:val="es-ES" w:eastAsia="es-ES"/>
        </w:rPr>
      </w:pPr>
    </w:p>
    <w:p w:rsidR="00050862" w:rsidRPr="001A7AE7" w:rsidRDefault="00050862" w:rsidP="009E3B2C">
      <w:pPr>
        <w:jc w:val="both"/>
        <w:rPr>
          <w:rFonts w:ascii="Arial" w:hAnsi="Arial" w:cs="Arial"/>
          <w:bCs/>
          <w:color w:val="000000"/>
          <w:sz w:val="20"/>
          <w:szCs w:val="20"/>
          <w:lang w:val="es-ES" w:eastAsia="es-ES"/>
        </w:rPr>
      </w:pPr>
      <w:r w:rsidRPr="001A7AE7">
        <w:rPr>
          <w:rFonts w:ascii="Arial" w:hAnsi="Arial" w:cs="Arial"/>
          <w:b/>
          <w:bCs/>
          <w:color w:val="000000"/>
          <w:sz w:val="20"/>
          <w:szCs w:val="20"/>
          <w:lang w:val="es-ES" w:eastAsia="es-ES"/>
        </w:rPr>
        <w:t>Cuadro Nº</w:t>
      </w:r>
      <w:r w:rsidR="00BF3442">
        <w:rPr>
          <w:rFonts w:ascii="Arial" w:hAnsi="Arial" w:cs="Arial"/>
          <w:b/>
          <w:bCs/>
          <w:color w:val="000000"/>
          <w:sz w:val="20"/>
          <w:szCs w:val="20"/>
          <w:lang w:val="es-ES" w:eastAsia="es-ES"/>
        </w:rPr>
        <w:t>5</w:t>
      </w:r>
      <w:r w:rsidRPr="001A7AE7">
        <w:rPr>
          <w:rFonts w:ascii="Arial" w:hAnsi="Arial" w:cs="Arial"/>
          <w:b/>
          <w:bCs/>
          <w:color w:val="000000"/>
          <w:sz w:val="20"/>
          <w:szCs w:val="20"/>
          <w:lang w:val="es-ES" w:eastAsia="es-ES"/>
        </w:rPr>
        <w:t xml:space="preserve">. </w:t>
      </w:r>
      <w:r w:rsidRPr="001A7AE7">
        <w:rPr>
          <w:rFonts w:ascii="Arial" w:hAnsi="Arial" w:cs="Arial"/>
          <w:bCs/>
          <w:color w:val="000000"/>
          <w:sz w:val="20"/>
          <w:szCs w:val="20"/>
          <w:lang w:val="es-ES" w:eastAsia="es-ES"/>
        </w:rPr>
        <w:t xml:space="preserve">Variación semestral pobreza e Indigencia, en tasas y cantidad de personas. 3er </w:t>
      </w:r>
      <w:proofErr w:type="spellStart"/>
      <w:r w:rsidRPr="001A7AE7">
        <w:rPr>
          <w:rFonts w:ascii="Arial" w:hAnsi="Arial" w:cs="Arial"/>
          <w:bCs/>
          <w:color w:val="000000"/>
          <w:sz w:val="20"/>
          <w:szCs w:val="20"/>
          <w:lang w:val="es-ES" w:eastAsia="es-ES"/>
        </w:rPr>
        <w:t>Trim</w:t>
      </w:r>
      <w:proofErr w:type="spellEnd"/>
      <w:r w:rsidRPr="001A7AE7">
        <w:rPr>
          <w:rFonts w:ascii="Arial" w:hAnsi="Arial" w:cs="Arial"/>
          <w:bCs/>
          <w:color w:val="000000"/>
          <w:sz w:val="20"/>
          <w:szCs w:val="20"/>
          <w:lang w:val="es-ES" w:eastAsia="es-ES"/>
        </w:rPr>
        <w:t xml:space="preserve">.  2018 vs. 1er </w:t>
      </w:r>
      <w:proofErr w:type="spellStart"/>
      <w:r w:rsidRPr="001A7AE7">
        <w:rPr>
          <w:rFonts w:ascii="Arial" w:hAnsi="Arial" w:cs="Arial"/>
          <w:bCs/>
          <w:color w:val="000000"/>
          <w:sz w:val="20"/>
          <w:szCs w:val="20"/>
          <w:lang w:val="es-ES" w:eastAsia="es-ES"/>
        </w:rPr>
        <w:t>Trim</w:t>
      </w:r>
      <w:proofErr w:type="spellEnd"/>
      <w:r w:rsidRPr="001A7AE7">
        <w:rPr>
          <w:rFonts w:ascii="Arial" w:hAnsi="Arial" w:cs="Arial"/>
          <w:bCs/>
          <w:color w:val="000000"/>
          <w:sz w:val="20"/>
          <w:szCs w:val="20"/>
          <w:lang w:val="es-ES" w:eastAsia="es-ES"/>
        </w:rPr>
        <w:t xml:space="preserve"> 2019. Total Nacional.</w:t>
      </w:r>
    </w:p>
    <w:p w:rsidR="00050862" w:rsidRPr="001A7AE7" w:rsidRDefault="00050862" w:rsidP="009E3B2C">
      <w:pPr>
        <w:jc w:val="center"/>
        <w:rPr>
          <w:rFonts w:ascii="Arial" w:hAnsi="Arial" w:cs="Arial"/>
          <w:sz w:val="18"/>
          <w:lang w:val="es-ES"/>
        </w:rPr>
      </w:pPr>
      <w:r w:rsidRPr="001A7AE7">
        <w:rPr>
          <w:rFonts w:ascii="Arial" w:hAnsi="Arial" w:cs="Arial"/>
          <w:noProof/>
          <w:lang w:eastAsia="es-AR"/>
        </w:rPr>
        <w:drawing>
          <wp:inline distT="0" distB="0" distL="0" distR="0">
            <wp:extent cx="5472000" cy="816727"/>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472000" cy="816727"/>
                    </a:xfrm>
                    <a:prstGeom prst="rect">
                      <a:avLst/>
                    </a:prstGeom>
                    <a:noFill/>
                    <a:ln w="9525">
                      <a:noFill/>
                      <a:miter lim="800000"/>
                      <a:headEnd/>
                      <a:tailEnd/>
                    </a:ln>
                  </pic:spPr>
                </pic:pic>
              </a:graphicData>
            </a:graphic>
          </wp:inline>
        </w:drawing>
      </w:r>
      <w:r w:rsidRPr="001A7AE7">
        <w:rPr>
          <w:rFonts w:ascii="Arial" w:hAnsi="Arial" w:cs="Arial"/>
          <w:b/>
          <w:sz w:val="18"/>
          <w:lang w:val="es-ES"/>
        </w:rPr>
        <w:t>Fuente</w:t>
      </w:r>
      <w:r w:rsidRPr="001A7AE7">
        <w:rPr>
          <w:rFonts w:ascii="Arial" w:hAnsi="Arial" w:cs="Arial"/>
          <w:sz w:val="18"/>
          <w:lang w:val="es-ES"/>
        </w:rPr>
        <w:t>: elaboración propia en base a datos de EPH-INDEC.</w:t>
      </w:r>
    </w:p>
    <w:p w:rsidR="00050862" w:rsidRPr="001A7AE7" w:rsidRDefault="00050862" w:rsidP="009E3B2C">
      <w:pPr>
        <w:jc w:val="both"/>
        <w:rPr>
          <w:rFonts w:ascii="Arial" w:hAnsi="Arial" w:cs="Arial"/>
          <w:b/>
          <w:bCs/>
          <w:color w:val="000000"/>
          <w:sz w:val="20"/>
          <w:szCs w:val="20"/>
          <w:lang w:val="es-ES" w:eastAsia="es-ES"/>
        </w:rPr>
      </w:pPr>
    </w:p>
    <w:p w:rsidR="009E3B2C" w:rsidRDefault="009E3B2C" w:rsidP="009E3B2C">
      <w:pPr>
        <w:jc w:val="both"/>
        <w:rPr>
          <w:rFonts w:ascii="Arial" w:hAnsi="Arial" w:cs="Arial"/>
          <w:b/>
          <w:bCs/>
          <w:color w:val="000000"/>
          <w:sz w:val="20"/>
          <w:szCs w:val="20"/>
          <w:lang w:val="es-ES" w:eastAsia="es-ES"/>
        </w:rPr>
      </w:pPr>
    </w:p>
    <w:p w:rsidR="00086FFB" w:rsidRDefault="00086FFB" w:rsidP="009E3B2C">
      <w:pPr>
        <w:jc w:val="both"/>
        <w:rPr>
          <w:rFonts w:ascii="Arial" w:hAnsi="Arial" w:cs="Arial"/>
          <w:b/>
          <w:bCs/>
          <w:color w:val="000000"/>
          <w:sz w:val="20"/>
          <w:szCs w:val="20"/>
          <w:lang w:val="es-ES" w:eastAsia="es-ES"/>
        </w:rPr>
      </w:pPr>
    </w:p>
    <w:p w:rsidR="00086FFB" w:rsidRDefault="00086FFB" w:rsidP="009E3B2C">
      <w:pPr>
        <w:jc w:val="both"/>
        <w:rPr>
          <w:rFonts w:ascii="Arial" w:hAnsi="Arial" w:cs="Arial"/>
          <w:b/>
          <w:bCs/>
          <w:color w:val="000000"/>
          <w:sz w:val="20"/>
          <w:szCs w:val="20"/>
          <w:lang w:val="es-ES" w:eastAsia="es-ES"/>
        </w:rPr>
      </w:pPr>
    </w:p>
    <w:p w:rsidR="00086FFB" w:rsidRDefault="00086FFB" w:rsidP="009E3B2C">
      <w:pPr>
        <w:jc w:val="both"/>
        <w:rPr>
          <w:rFonts w:ascii="Arial" w:hAnsi="Arial" w:cs="Arial"/>
          <w:b/>
          <w:bCs/>
          <w:color w:val="000000"/>
          <w:sz w:val="20"/>
          <w:szCs w:val="20"/>
          <w:lang w:val="es-ES" w:eastAsia="es-ES"/>
        </w:rPr>
      </w:pPr>
    </w:p>
    <w:p w:rsidR="00086FFB" w:rsidRDefault="00086FFB" w:rsidP="009E3B2C">
      <w:pPr>
        <w:jc w:val="both"/>
        <w:rPr>
          <w:rFonts w:ascii="Arial" w:hAnsi="Arial" w:cs="Arial"/>
          <w:b/>
          <w:bCs/>
          <w:color w:val="000000"/>
          <w:sz w:val="20"/>
          <w:szCs w:val="20"/>
          <w:lang w:val="es-ES" w:eastAsia="es-ES"/>
        </w:rPr>
      </w:pPr>
    </w:p>
    <w:p w:rsidR="00086FFB" w:rsidRDefault="00086FFB" w:rsidP="009E3B2C">
      <w:pPr>
        <w:jc w:val="both"/>
        <w:rPr>
          <w:rFonts w:ascii="Arial" w:hAnsi="Arial" w:cs="Arial"/>
          <w:b/>
          <w:bCs/>
          <w:color w:val="000000"/>
          <w:sz w:val="20"/>
          <w:szCs w:val="20"/>
          <w:lang w:val="es-ES" w:eastAsia="es-ES"/>
        </w:rPr>
      </w:pPr>
    </w:p>
    <w:p w:rsidR="00086FFB" w:rsidRDefault="00086FFB" w:rsidP="009E3B2C">
      <w:pPr>
        <w:jc w:val="both"/>
        <w:rPr>
          <w:rFonts w:ascii="Arial" w:hAnsi="Arial" w:cs="Arial"/>
          <w:b/>
          <w:bCs/>
          <w:color w:val="000000"/>
          <w:sz w:val="20"/>
          <w:szCs w:val="20"/>
          <w:lang w:val="es-ES" w:eastAsia="es-ES"/>
        </w:rPr>
      </w:pPr>
    </w:p>
    <w:p w:rsidR="00086FFB" w:rsidRPr="001A7AE7" w:rsidRDefault="00086FFB" w:rsidP="009E3B2C">
      <w:pPr>
        <w:jc w:val="both"/>
        <w:rPr>
          <w:rFonts w:ascii="Arial" w:hAnsi="Arial" w:cs="Arial"/>
          <w:b/>
          <w:bCs/>
          <w:color w:val="000000"/>
          <w:sz w:val="20"/>
          <w:szCs w:val="20"/>
          <w:lang w:val="es-ES" w:eastAsia="es-ES"/>
        </w:rPr>
      </w:pPr>
    </w:p>
    <w:p w:rsidR="00050862" w:rsidRPr="001A7AE7" w:rsidRDefault="00050862" w:rsidP="009E3B2C">
      <w:pPr>
        <w:jc w:val="both"/>
        <w:rPr>
          <w:rFonts w:ascii="Arial" w:hAnsi="Arial" w:cs="Arial"/>
          <w:bCs/>
          <w:color w:val="000000"/>
          <w:sz w:val="20"/>
          <w:szCs w:val="20"/>
          <w:lang w:val="es-ES" w:eastAsia="es-ES"/>
        </w:rPr>
      </w:pPr>
      <w:r w:rsidRPr="001A7AE7">
        <w:rPr>
          <w:rFonts w:ascii="Arial" w:hAnsi="Arial" w:cs="Arial"/>
          <w:b/>
          <w:bCs/>
          <w:color w:val="000000"/>
          <w:sz w:val="20"/>
          <w:szCs w:val="20"/>
          <w:lang w:val="es-ES" w:eastAsia="es-ES"/>
        </w:rPr>
        <w:t>Cuadro Nº</w:t>
      </w:r>
      <w:r w:rsidR="00FE224E">
        <w:rPr>
          <w:rFonts w:ascii="Arial" w:hAnsi="Arial" w:cs="Arial"/>
          <w:b/>
          <w:bCs/>
          <w:color w:val="000000"/>
          <w:sz w:val="20"/>
          <w:szCs w:val="20"/>
          <w:lang w:val="es-ES" w:eastAsia="es-ES"/>
        </w:rPr>
        <w:t>6</w:t>
      </w:r>
      <w:r w:rsidRPr="001A7AE7">
        <w:rPr>
          <w:rFonts w:ascii="Arial" w:hAnsi="Arial" w:cs="Arial"/>
          <w:b/>
          <w:bCs/>
          <w:color w:val="000000"/>
          <w:sz w:val="20"/>
          <w:szCs w:val="20"/>
          <w:lang w:val="es-ES" w:eastAsia="es-ES"/>
        </w:rPr>
        <w:t xml:space="preserve">. </w:t>
      </w:r>
      <w:r w:rsidRPr="001A7AE7">
        <w:rPr>
          <w:rFonts w:ascii="Arial" w:hAnsi="Arial" w:cs="Arial"/>
          <w:bCs/>
          <w:color w:val="000000"/>
          <w:sz w:val="20"/>
          <w:szCs w:val="20"/>
          <w:lang w:val="es-ES" w:eastAsia="es-ES"/>
        </w:rPr>
        <w:t xml:space="preserve">Variación de pobreza e indigencia en la Gestión Macri, en tasas y cantidad de personas. 1er </w:t>
      </w:r>
      <w:proofErr w:type="spellStart"/>
      <w:r w:rsidRPr="001A7AE7">
        <w:rPr>
          <w:rFonts w:ascii="Arial" w:hAnsi="Arial" w:cs="Arial"/>
          <w:bCs/>
          <w:color w:val="000000"/>
          <w:sz w:val="20"/>
          <w:szCs w:val="20"/>
          <w:lang w:val="es-ES" w:eastAsia="es-ES"/>
        </w:rPr>
        <w:t>Trim</w:t>
      </w:r>
      <w:proofErr w:type="spellEnd"/>
      <w:r w:rsidRPr="001A7AE7">
        <w:rPr>
          <w:rFonts w:ascii="Arial" w:hAnsi="Arial" w:cs="Arial"/>
          <w:bCs/>
          <w:color w:val="000000"/>
          <w:sz w:val="20"/>
          <w:szCs w:val="20"/>
          <w:lang w:val="es-ES" w:eastAsia="es-ES"/>
        </w:rPr>
        <w:t xml:space="preserve">. 2015 vs. 1er </w:t>
      </w:r>
      <w:proofErr w:type="spellStart"/>
      <w:r w:rsidRPr="001A7AE7">
        <w:rPr>
          <w:rFonts w:ascii="Arial" w:hAnsi="Arial" w:cs="Arial"/>
          <w:bCs/>
          <w:color w:val="000000"/>
          <w:sz w:val="20"/>
          <w:szCs w:val="20"/>
          <w:lang w:val="es-ES" w:eastAsia="es-ES"/>
        </w:rPr>
        <w:t>Trim</w:t>
      </w:r>
      <w:proofErr w:type="spellEnd"/>
      <w:r w:rsidRPr="001A7AE7">
        <w:rPr>
          <w:rFonts w:ascii="Arial" w:hAnsi="Arial" w:cs="Arial"/>
          <w:bCs/>
          <w:color w:val="000000"/>
          <w:sz w:val="20"/>
          <w:szCs w:val="20"/>
          <w:lang w:val="es-ES" w:eastAsia="es-ES"/>
        </w:rPr>
        <w:t>. 2019. Total Nacional.</w:t>
      </w:r>
    </w:p>
    <w:p w:rsidR="00050862" w:rsidRPr="001A7AE7" w:rsidRDefault="00050862" w:rsidP="009E3B2C">
      <w:pPr>
        <w:jc w:val="center"/>
        <w:rPr>
          <w:rFonts w:ascii="Arial" w:hAnsi="Arial" w:cs="Arial"/>
          <w:lang w:val="es-ES"/>
        </w:rPr>
      </w:pPr>
      <w:r w:rsidRPr="001A7AE7">
        <w:rPr>
          <w:rFonts w:ascii="Arial" w:hAnsi="Arial" w:cs="Arial"/>
          <w:noProof/>
          <w:lang w:eastAsia="es-AR"/>
        </w:rPr>
        <w:drawing>
          <wp:inline distT="0" distB="0" distL="0" distR="0">
            <wp:extent cx="5472000" cy="836718"/>
            <wp:effectExtent l="1905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472000" cy="836718"/>
                    </a:xfrm>
                    <a:prstGeom prst="rect">
                      <a:avLst/>
                    </a:prstGeom>
                    <a:noFill/>
                    <a:ln w="9525">
                      <a:noFill/>
                      <a:miter lim="800000"/>
                      <a:headEnd/>
                      <a:tailEnd/>
                    </a:ln>
                  </pic:spPr>
                </pic:pic>
              </a:graphicData>
            </a:graphic>
          </wp:inline>
        </w:drawing>
      </w:r>
      <w:r w:rsidRPr="001A7AE7">
        <w:rPr>
          <w:rFonts w:ascii="Arial" w:hAnsi="Arial" w:cs="Arial"/>
          <w:b/>
          <w:sz w:val="18"/>
          <w:lang w:val="es-ES"/>
        </w:rPr>
        <w:t>Fuente</w:t>
      </w:r>
      <w:r w:rsidRPr="001A7AE7">
        <w:rPr>
          <w:rFonts w:ascii="Arial" w:hAnsi="Arial" w:cs="Arial"/>
          <w:sz w:val="18"/>
          <w:lang w:val="es-ES"/>
        </w:rPr>
        <w:t>: elaboración propia en base a datos de EPH-INDEC.</w:t>
      </w:r>
    </w:p>
    <w:p w:rsidR="00050862" w:rsidRDefault="00050862" w:rsidP="009E3B2C">
      <w:pPr>
        <w:jc w:val="both"/>
        <w:rPr>
          <w:rFonts w:ascii="Arial" w:hAnsi="Arial" w:cs="Arial"/>
          <w:lang w:val="es-ES"/>
        </w:rPr>
      </w:pPr>
    </w:p>
    <w:p w:rsidR="004344AA" w:rsidRDefault="004344AA" w:rsidP="009E3B2C">
      <w:pPr>
        <w:jc w:val="both"/>
        <w:rPr>
          <w:rFonts w:ascii="Arial" w:hAnsi="Arial" w:cs="Arial"/>
          <w:lang w:val="es-ES"/>
        </w:rPr>
      </w:pPr>
    </w:p>
    <w:p w:rsidR="004344AA" w:rsidRDefault="004344AA" w:rsidP="009E3B2C">
      <w:pPr>
        <w:jc w:val="both"/>
        <w:rPr>
          <w:rFonts w:ascii="Arial" w:hAnsi="Arial" w:cs="Arial"/>
          <w:lang w:val="es-ES"/>
        </w:rPr>
      </w:pPr>
    </w:p>
    <w:p w:rsidR="000E7F79" w:rsidRDefault="000E7F79" w:rsidP="009E3B2C">
      <w:pPr>
        <w:jc w:val="both"/>
        <w:rPr>
          <w:color w:val="000000"/>
          <w:lang w:val="es-ES" w:eastAsia="es-ES"/>
        </w:rPr>
      </w:pPr>
      <w:r w:rsidRPr="000E7F79">
        <w:rPr>
          <w:color w:val="000000"/>
          <w:lang w:val="es-ES" w:eastAsia="es-ES"/>
        </w:rPr>
        <w:tab/>
      </w:r>
      <w:r>
        <w:rPr>
          <w:color w:val="000000"/>
          <w:lang w:val="es-ES" w:eastAsia="es-ES"/>
        </w:rPr>
        <w:t>En el cuadro que presentamos a continuación se realiza un ejercicio de estimación de los niveles de pobreza e indigencia</w:t>
      </w:r>
      <w:r w:rsidR="00A55BBE">
        <w:rPr>
          <w:color w:val="000000"/>
          <w:lang w:val="es-ES" w:eastAsia="es-ES"/>
        </w:rPr>
        <w:t xml:space="preserve"> al primer trimestre 2019</w:t>
      </w:r>
      <w:r>
        <w:rPr>
          <w:color w:val="000000"/>
          <w:lang w:val="es-ES" w:eastAsia="es-ES"/>
        </w:rPr>
        <w:t xml:space="preserve"> intentando despejar uno de los factores de estacionalidad que afectan </w:t>
      </w:r>
      <w:r w:rsidR="00A55BBE">
        <w:rPr>
          <w:color w:val="000000"/>
          <w:lang w:val="es-ES" w:eastAsia="es-ES"/>
        </w:rPr>
        <w:t>la estructura de ingresos</w:t>
      </w:r>
      <w:r>
        <w:rPr>
          <w:color w:val="000000"/>
          <w:lang w:val="es-ES" w:eastAsia="es-ES"/>
        </w:rPr>
        <w:t xml:space="preserve"> de los primeros (y también terceros) trimestres, el pago del aguinaldo a los trabajadores asalariados registrados.</w:t>
      </w:r>
      <w:r w:rsidR="00A55BBE">
        <w:rPr>
          <w:color w:val="000000"/>
          <w:lang w:val="es-ES" w:eastAsia="es-ES"/>
        </w:rPr>
        <w:t xml:space="preserve"> Al resultar éste un pago extraordinario que tiene lugar en muy acotados momentos del año, el ejercicio resulta de suma utilidad para alcanza</w:t>
      </w:r>
      <w:r w:rsidR="00876472">
        <w:rPr>
          <w:color w:val="000000"/>
          <w:lang w:val="es-ES" w:eastAsia="es-ES"/>
        </w:rPr>
        <w:t>r</w:t>
      </w:r>
      <w:r w:rsidR="00A55BBE">
        <w:rPr>
          <w:color w:val="000000"/>
          <w:lang w:val="es-ES" w:eastAsia="es-ES"/>
        </w:rPr>
        <w:t xml:space="preserve"> una medida más cercana a la realidad. </w:t>
      </w:r>
      <w:r>
        <w:rPr>
          <w:color w:val="000000"/>
          <w:lang w:val="es-ES" w:eastAsia="es-ES"/>
        </w:rPr>
        <w:t xml:space="preserve"> Sin embargo, </w:t>
      </w:r>
      <w:r w:rsidR="00C06B19">
        <w:rPr>
          <w:color w:val="000000"/>
          <w:lang w:val="es-ES" w:eastAsia="es-ES"/>
        </w:rPr>
        <w:t>no fue posible aislar lo que funcionó</w:t>
      </w:r>
      <w:r w:rsidR="00160350">
        <w:rPr>
          <w:color w:val="000000"/>
          <w:lang w:val="es-ES" w:eastAsia="es-ES"/>
        </w:rPr>
        <w:t>,</w:t>
      </w:r>
      <w:r w:rsidR="00C06B19">
        <w:rPr>
          <w:color w:val="000000"/>
          <w:lang w:val="es-ES" w:eastAsia="es-ES"/>
        </w:rPr>
        <w:t xml:space="preserve"> a finales del año 2018 como el “aguinaldo” del sector informal de la economía</w:t>
      </w:r>
      <w:r w:rsidR="00A81C44">
        <w:rPr>
          <w:color w:val="000000"/>
          <w:lang w:val="es-ES" w:eastAsia="es-ES"/>
        </w:rPr>
        <w:t>,</w:t>
      </w:r>
      <w:r w:rsidR="00C06B19">
        <w:rPr>
          <w:color w:val="000000"/>
          <w:lang w:val="es-ES" w:eastAsia="es-ES"/>
        </w:rPr>
        <w:t xml:space="preserve"> otorgado </w:t>
      </w:r>
      <w:r w:rsidR="00D303F9">
        <w:rPr>
          <w:color w:val="000000"/>
          <w:lang w:val="es-ES" w:eastAsia="es-ES"/>
        </w:rPr>
        <w:t>como bonos</w:t>
      </w:r>
      <w:r w:rsidR="00A81C44">
        <w:rPr>
          <w:rStyle w:val="Refdenotaalpie"/>
          <w:color w:val="000000"/>
          <w:lang w:val="es-ES" w:eastAsia="es-ES"/>
        </w:rPr>
        <w:footnoteReference w:id="2"/>
      </w:r>
      <w:r w:rsidR="00D303F9">
        <w:rPr>
          <w:color w:val="000000"/>
          <w:lang w:val="es-ES" w:eastAsia="es-ES"/>
        </w:rPr>
        <w:t xml:space="preserve"> </w:t>
      </w:r>
      <w:r w:rsidR="00C06B19">
        <w:rPr>
          <w:color w:val="000000"/>
          <w:lang w:val="es-ES" w:eastAsia="es-ES"/>
        </w:rPr>
        <w:t xml:space="preserve">por el gobierno a los beneficiarios de la asignación universal por hijo </w:t>
      </w:r>
      <w:r w:rsidR="00E724C0">
        <w:rPr>
          <w:color w:val="000000"/>
          <w:lang w:val="es-ES" w:eastAsia="es-ES"/>
        </w:rPr>
        <w:t xml:space="preserve">y planes sociales. </w:t>
      </w:r>
      <w:r w:rsidR="00D2463E">
        <w:rPr>
          <w:color w:val="000000"/>
          <w:lang w:val="es-ES" w:eastAsia="es-ES"/>
        </w:rPr>
        <w:t>T</w:t>
      </w:r>
    </w:p>
    <w:p w:rsidR="000E7F79" w:rsidRDefault="000E7F79" w:rsidP="009E3B2C">
      <w:pPr>
        <w:jc w:val="both"/>
        <w:rPr>
          <w:color w:val="000000"/>
          <w:lang w:val="es-ES" w:eastAsia="es-ES"/>
        </w:rPr>
      </w:pPr>
    </w:p>
    <w:p w:rsidR="002276ED" w:rsidRPr="000E7F79" w:rsidRDefault="00A55BBE" w:rsidP="009E3B2C">
      <w:pPr>
        <w:jc w:val="both"/>
        <w:rPr>
          <w:color w:val="000000"/>
          <w:lang w:val="es-ES" w:eastAsia="es-ES"/>
        </w:rPr>
      </w:pPr>
      <w:r>
        <w:rPr>
          <w:color w:val="000000"/>
          <w:lang w:val="es-ES" w:eastAsia="es-ES"/>
        </w:rPr>
        <w:tab/>
        <w:t>De esta manera</w:t>
      </w:r>
      <w:r w:rsidR="00166AAF">
        <w:rPr>
          <w:color w:val="000000"/>
          <w:lang w:val="es-ES" w:eastAsia="es-ES"/>
        </w:rPr>
        <w:t>, aislando el efecto aguinaldo</w:t>
      </w:r>
      <w:r>
        <w:rPr>
          <w:color w:val="000000"/>
          <w:lang w:val="es-ES" w:eastAsia="es-ES"/>
        </w:rPr>
        <w:t xml:space="preserve"> surge que la tasa de pobreza pasa a ser del 34,7%, en lugar del 34,1%, mientras la indigencia alcanza 7,2%. Es decir, la población pobre es de 15,5 millones de los cuales 3,2 millones pasan hambre.</w:t>
      </w:r>
      <w:r w:rsidR="00586540">
        <w:rPr>
          <w:color w:val="000000"/>
          <w:lang w:val="es-ES" w:eastAsia="es-ES"/>
        </w:rPr>
        <w:t xml:space="preserve"> Resulta entonces, que tales niveles de empobrecimiento son una </w:t>
      </w:r>
      <w:r w:rsidR="008671FF">
        <w:rPr>
          <w:color w:val="000000"/>
          <w:lang w:val="es-ES" w:eastAsia="es-ES"/>
        </w:rPr>
        <w:t>estimación</w:t>
      </w:r>
      <w:r w:rsidR="00586540">
        <w:rPr>
          <w:color w:val="000000"/>
          <w:lang w:val="es-ES" w:eastAsia="es-ES"/>
        </w:rPr>
        <w:t xml:space="preserve"> de mínima ya que, como se destacó</w:t>
      </w:r>
      <w:r w:rsidR="008671FF">
        <w:rPr>
          <w:color w:val="000000"/>
          <w:lang w:val="es-ES" w:eastAsia="es-ES"/>
        </w:rPr>
        <w:t>,</w:t>
      </w:r>
      <w:r w:rsidR="00586540">
        <w:rPr>
          <w:color w:val="000000"/>
          <w:lang w:val="es-ES" w:eastAsia="es-ES"/>
        </w:rPr>
        <w:t xml:space="preserve"> no es posible despejar la incidencia de los bonos pagados por única vez a las prestaciones </w:t>
      </w:r>
      <w:r w:rsidR="008671FF">
        <w:rPr>
          <w:color w:val="000000"/>
          <w:lang w:val="es-ES" w:eastAsia="es-ES"/>
        </w:rPr>
        <w:t>sociales,</w:t>
      </w:r>
      <w:r w:rsidR="00586540">
        <w:rPr>
          <w:color w:val="000000"/>
          <w:lang w:val="es-ES" w:eastAsia="es-ES"/>
        </w:rPr>
        <w:t xml:space="preserve"> </w:t>
      </w:r>
      <w:r w:rsidR="006B20AD">
        <w:rPr>
          <w:color w:val="000000"/>
          <w:lang w:val="es-ES" w:eastAsia="es-ES"/>
        </w:rPr>
        <w:t>así como</w:t>
      </w:r>
      <w:r w:rsidR="00586540">
        <w:rPr>
          <w:color w:val="000000"/>
          <w:lang w:val="es-ES" w:eastAsia="es-ES"/>
        </w:rPr>
        <w:t xml:space="preserve"> tampoco</w:t>
      </w:r>
      <w:r w:rsidR="006B20AD">
        <w:rPr>
          <w:color w:val="000000"/>
          <w:lang w:val="es-ES" w:eastAsia="es-ES"/>
        </w:rPr>
        <w:t>, l</w:t>
      </w:r>
      <w:r w:rsidR="008671FF">
        <w:rPr>
          <w:color w:val="000000"/>
          <w:lang w:val="es-ES" w:eastAsia="es-ES"/>
        </w:rPr>
        <w:t>os que fueron convenidos</w:t>
      </w:r>
      <w:r w:rsidR="00586540">
        <w:rPr>
          <w:color w:val="000000"/>
          <w:lang w:val="es-ES" w:eastAsia="es-ES"/>
        </w:rPr>
        <w:t xml:space="preserve"> </w:t>
      </w:r>
      <w:r w:rsidR="008671FF">
        <w:rPr>
          <w:color w:val="000000"/>
          <w:lang w:val="es-ES" w:eastAsia="es-ES"/>
        </w:rPr>
        <w:t xml:space="preserve">como suma por única vez destinadas a los trabajadores del sector privado y a los estatales. </w:t>
      </w:r>
    </w:p>
    <w:p w:rsidR="002276ED" w:rsidRDefault="002276ED" w:rsidP="009E3B2C">
      <w:pPr>
        <w:jc w:val="both"/>
        <w:rPr>
          <w:rFonts w:ascii="Arial" w:hAnsi="Arial" w:cs="Arial"/>
          <w:lang w:val="es-ES"/>
        </w:rPr>
      </w:pPr>
    </w:p>
    <w:p w:rsidR="009E3B2C" w:rsidRPr="001A7AE7" w:rsidRDefault="009E3B2C" w:rsidP="009E3B2C">
      <w:pPr>
        <w:jc w:val="both"/>
        <w:rPr>
          <w:rFonts w:ascii="Arial" w:hAnsi="Arial" w:cs="Arial"/>
          <w:lang w:val="es-ES"/>
        </w:rPr>
      </w:pPr>
    </w:p>
    <w:p w:rsidR="009E3B2C" w:rsidRPr="001A7AE7" w:rsidRDefault="009E3B2C" w:rsidP="009E3B2C">
      <w:pPr>
        <w:jc w:val="both"/>
        <w:rPr>
          <w:rFonts w:ascii="Arial" w:hAnsi="Arial" w:cs="Arial"/>
          <w:bCs/>
          <w:color w:val="000000"/>
          <w:sz w:val="20"/>
          <w:szCs w:val="20"/>
          <w:lang w:val="es-ES" w:eastAsia="es-ES"/>
        </w:rPr>
      </w:pPr>
      <w:r w:rsidRPr="001A7AE7">
        <w:rPr>
          <w:rFonts w:ascii="Arial" w:hAnsi="Arial" w:cs="Arial"/>
          <w:b/>
          <w:bCs/>
          <w:color w:val="000000"/>
          <w:sz w:val="20"/>
          <w:szCs w:val="20"/>
          <w:lang w:val="es-ES" w:eastAsia="es-ES"/>
        </w:rPr>
        <w:t>Cuadro Nº</w:t>
      </w:r>
      <w:r w:rsidR="009A4181">
        <w:rPr>
          <w:rFonts w:ascii="Arial" w:hAnsi="Arial" w:cs="Arial"/>
          <w:b/>
          <w:bCs/>
          <w:color w:val="000000"/>
          <w:sz w:val="20"/>
          <w:szCs w:val="20"/>
          <w:lang w:val="es-ES" w:eastAsia="es-ES"/>
        </w:rPr>
        <w:t>7</w:t>
      </w:r>
      <w:r w:rsidRPr="001A7AE7">
        <w:rPr>
          <w:rFonts w:ascii="Arial" w:hAnsi="Arial" w:cs="Arial"/>
          <w:b/>
          <w:bCs/>
          <w:color w:val="000000"/>
          <w:sz w:val="20"/>
          <w:szCs w:val="20"/>
          <w:lang w:val="es-ES" w:eastAsia="es-ES"/>
        </w:rPr>
        <w:t xml:space="preserve">. </w:t>
      </w:r>
      <w:r w:rsidRPr="001A7AE7">
        <w:rPr>
          <w:rFonts w:ascii="Arial" w:hAnsi="Arial" w:cs="Arial"/>
          <w:bCs/>
          <w:color w:val="000000"/>
          <w:sz w:val="20"/>
          <w:szCs w:val="20"/>
          <w:lang w:val="es-ES" w:eastAsia="es-ES"/>
        </w:rPr>
        <w:t>Pobreza e Indigencia, en tasas y cantidad de personas. Estimación realizada sin la percepción de aguinaldo, bonificaciones y retroactivos. 1er Trimestre 2019 - Total Nacional</w:t>
      </w:r>
    </w:p>
    <w:p w:rsidR="00A674D6" w:rsidRPr="001A7AE7" w:rsidRDefault="009E3B2C" w:rsidP="009E3B2C">
      <w:pPr>
        <w:jc w:val="center"/>
        <w:rPr>
          <w:rFonts w:ascii="Arial" w:hAnsi="Arial" w:cs="Arial"/>
          <w:lang w:val="es-ES"/>
        </w:rPr>
      </w:pPr>
      <w:r w:rsidRPr="001A7AE7">
        <w:rPr>
          <w:rFonts w:ascii="Arial" w:hAnsi="Arial" w:cs="Arial"/>
          <w:noProof/>
          <w:lang w:eastAsia="es-AR"/>
        </w:rPr>
        <w:drawing>
          <wp:inline distT="0" distB="0" distL="0" distR="0">
            <wp:extent cx="3307715" cy="747395"/>
            <wp:effectExtent l="19050" t="0" r="6985"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3307715" cy="747395"/>
                    </a:xfrm>
                    <a:prstGeom prst="rect">
                      <a:avLst/>
                    </a:prstGeom>
                    <a:noFill/>
                    <a:ln w="9525">
                      <a:noFill/>
                      <a:miter lim="800000"/>
                      <a:headEnd/>
                      <a:tailEnd/>
                    </a:ln>
                  </pic:spPr>
                </pic:pic>
              </a:graphicData>
            </a:graphic>
          </wp:inline>
        </w:drawing>
      </w:r>
    </w:p>
    <w:p w:rsidR="00A674D6" w:rsidRPr="001A7AE7" w:rsidRDefault="009E3B2C" w:rsidP="009E3B2C">
      <w:pPr>
        <w:jc w:val="center"/>
        <w:rPr>
          <w:rFonts w:ascii="Arial" w:hAnsi="Arial" w:cs="Arial"/>
          <w:i/>
          <w:sz w:val="20"/>
          <w:lang w:val="es-ES"/>
        </w:rPr>
      </w:pPr>
      <w:r w:rsidRPr="001A7AE7">
        <w:rPr>
          <w:rFonts w:ascii="Arial" w:hAnsi="Arial" w:cs="Arial"/>
          <w:i/>
          <w:sz w:val="20"/>
          <w:lang w:val="es-ES"/>
        </w:rPr>
        <w:t>*Nota: la población utilizada refiere al Censo 2010.</w:t>
      </w:r>
    </w:p>
    <w:p w:rsidR="009E3B2C" w:rsidRPr="001A7AE7" w:rsidRDefault="009E3B2C" w:rsidP="009E3B2C">
      <w:pPr>
        <w:jc w:val="center"/>
        <w:rPr>
          <w:rFonts w:ascii="Arial" w:hAnsi="Arial" w:cs="Arial"/>
          <w:i/>
          <w:sz w:val="20"/>
          <w:lang w:val="es-ES"/>
        </w:rPr>
      </w:pPr>
      <w:r w:rsidRPr="001A7AE7">
        <w:rPr>
          <w:rFonts w:ascii="Arial" w:hAnsi="Arial" w:cs="Arial"/>
          <w:b/>
          <w:sz w:val="18"/>
          <w:lang w:val="es-ES"/>
        </w:rPr>
        <w:t>Fuente</w:t>
      </w:r>
      <w:r w:rsidRPr="001A7AE7">
        <w:rPr>
          <w:rFonts w:ascii="Arial" w:hAnsi="Arial" w:cs="Arial"/>
          <w:sz w:val="18"/>
          <w:lang w:val="es-ES"/>
        </w:rPr>
        <w:t>: elaboración propia en base a datos de EPH-INDEC.</w:t>
      </w:r>
    </w:p>
    <w:p w:rsidR="00A674D6" w:rsidRDefault="00A674D6" w:rsidP="009E3B2C">
      <w:pPr>
        <w:jc w:val="both"/>
        <w:rPr>
          <w:lang w:val="es-ES"/>
        </w:rPr>
      </w:pPr>
    </w:p>
    <w:p w:rsidR="00A674D6" w:rsidRDefault="00A674D6" w:rsidP="009E3B2C">
      <w:pPr>
        <w:jc w:val="both"/>
        <w:rPr>
          <w:lang w:val="es-ES"/>
        </w:rPr>
      </w:pPr>
    </w:p>
    <w:p w:rsidR="001A7AE7" w:rsidRDefault="001A7AE7">
      <w:pPr>
        <w:rPr>
          <w:rFonts w:ascii="Arial" w:hAnsi="Arial" w:cs="Arial"/>
          <w:b/>
          <w:lang w:val="es-ES"/>
        </w:rPr>
      </w:pPr>
      <w:r>
        <w:rPr>
          <w:rFonts w:ascii="Arial" w:hAnsi="Arial" w:cs="Arial"/>
          <w:b/>
          <w:lang w:val="es-ES"/>
        </w:rPr>
        <w:br w:type="page"/>
      </w:r>
    </w:p>
    <w:p w:rsidR="001A7AE7" w:rsidRDefault="001A7AE7" w:rsidP="001A7AE7">
      <w:pPr>
        <w:spacing w:line="360" w:lineRule="auto"/>
        <w:jc w:val="center"/>
        <w:rPr>
          <w:rFonts w:ascii="Arial" w:hAnsi="Arial" w:cs="Arial"/>
          <w:b/>
        </w:rPr>
      </w:pPr>
      <w:r w:rsidRPr="00F21EF9">
        <w:rPr>
          <w:rFonts w:ascii="Arial" w:hAnsi="Arial" w:cs="Arial"/>
          <w:b/>
        </w:rPr>
        <w:t>ANEXO</w:t>
      </w:r>
    </w:p>
    <w:p w:rsidR="001A7AE7" w:rsidRPr="00F97153" w:rsidRDefault="001A7AE7" w:rsidP="001A7AE7">
      <w:pPr>
        <w:spacing w:line="360" w:lineRule="auto"/>
        <w:jc w:val="center"/>
        <w:rPr>
          <w:rFonts w:ascii="Arial" w:hAnsi="Arial" w:cs="Arial"/>
          <w:b/>
        </w:rPr>
      </w:pPr>
      <w:r>
        <w:rPr>
          <w:rFonts w:ascii="Arial" w:hAnsi="Arial" w:cs="Arial"/>
          <w:b/>
        </w:rPr>
        <w:t>Serie de Pobreza e Indigencia (2007-2019)</w:t>
      </w:r>
    </w:p>
    <w:p w:rsidR="00434162" w:rsidRDefault="008162F0" w:rsidP="00434162">
      <w:pPr>
        <w:jc w:val="both"/>
      </w:pPr>
      <w:r>
        <w:rPr>
          <w:rFonts w:ascii="Arial" w:hAnsi="Arial" w:cs="Arial"/>
        </w:rPr>
        <w:tab/>
      </w:r>
      <w:r w:rsidR="001A7AE7" w:rsidRPr="000E7F79">
        <w:t xml:space="preserve">Desde los comienzos de nuestro Instituto hemos realizado un seguimiento sistemático de la situación del mundo laboral de la Argentina y de las condiciones de vida de los sectores populares. En este sentido, y más allá de que como todo indicador tiene sus limitaciones, nos fue de sumo interés considerar la evolución de los niveles de pobreza e indigencia. Lo hemos hecho antes, durante y a posteriori de la intervención del INDEC. Previo a la intervención, durante el período 2005-2007, alertamos sobre la existencia de una revisión metodológica que los técnicos del INDEC habían realizado y que se imponía aplicarla no solo porque metodológicamente tenía ventajas, sino porque era hora que se actualizara una medición que venía realizándose con una canasta de la década del 80. </w:t>
      </w:r>
      <w:r w:rsidR="007F0078">
        <w:t>En pocos términos</w:t>
      </w:r>
      <w:r w:rsidR="008169F7">
        <w:t>, ésta consistía</w:t>
      </w:r>
      <w:r w:rsidR="00434162">
        <w:t xml:space="preserve"> en incorporar un conjunto de cambios. En primer lugar,</w:t>
      </w:r>
      <w:r w:rsidR="008169F7">
        <w:t xml:space="preserve"> </w:t>
      </w:r>
      <w:r w:rsidR="00434162">
        <w:t>actualizar la</w:t>
      </w:r>
      <w:r w:rsidR="008169F7">
        <w:t xml:space="preserve"> canasta de alimentos en función del patrón de consumo de la ENGHo 96/97</w:t>
      </w:r>
      <w:r w:rsidR="00434162">
        <w:t xml:space="preserve">. En línea con los lineamientos de </w:t>
      </w:r>
      <w:r w:rsidR="00434162" w:rsidRPr="00434162">
        <w:t>la Revisión</w:t>
      </w:r>
      <w:r w:rsidR="00434162">
        <w:t xml:space="preserve"> metodológica del año</w:t>
      </w:r>
      <w:r w:rsidR="00434162" w:rsidRPr="00434162">
        <w:t xml:space="preserve"> 200</w:t>
      </w:r>
      <w:r w:rsidR="00434162">
        <w:t>4</w:t>
      </w:r>
      <w:r w:rsidR="00434162">
        <w:rPr>
          <w:rStyle w:val="Refdenotaalpie"/>
        </w:rPr>
        <w:footnoteReference w:id="3"/>
      </w:r>
      <w:r w:rsidR="00434162" w:rsidRPr="00434162">
        <w:t xml:space="preserve"> </w:t>
      </w:r>
      <w:r w:rsidR="00434162">
        <w:t>se partía</w:t>
      </w:r>
      <w:r w:rsidR="00434162" w:rsidRPr="00434162">
        <w:t xml:space="preserve"> de identificar en forma normativa los requerimientos nutricionales</w:t>
      </w:r>
      <w:r w:rsidR="00434162">
        <w:t xml:space="preserve"> (</w:t>
      </w:r>
      <w:r w:rsidR="00434162" w:rsidRPr="00434162">
        <w:t>consumo en alimentos</w:t>
      </w:r>
      <w:r w:rsidR="00434162">
        <w:t xml:space="preserve"> que</w:t>
      </w:r>
      <w:r w:rsidR="00434162" w:rsidRPr="00434162">
        <w:t xml:space="preserve"> satisfaga las 2750 Kcal. diarias </w:t>
      </w:r>
      <w:r w:rsidR="00434162">
        <w:t xml:space="preserve">como </w:t>
      </w:r>
      <w:r w:rsidR="00434162" w:rsidRPr="00434162">
        <w:t>norma calórica establecida</w:t>
      </w:r>
      <w:r w:rsidR="00434162">
        <w:t>)</w:t>
      </w:r>
      <w:r w:rsidR="00434162" w:rsidRPr="00434162">
        <w:t xml:space="preserve"> para fijar luego, a partir de ellos los nuevos componentes de la canasta de alimentos</w:t>
      </w:r>
      <w:r w:rsidR="00434162">
        <w:t>. Para la valorización de la CBT</w:t>
      </w:r>
      <w:r w:rsidR="00462ADC">
        <w:t xml:space="preserve"> se implementó un método directo de estimación (distinto al método vigente que estima los gastos no alimentarios a través del coeficiente de Engel). El mismo</w:t>
      </w:r>
      <w:r w:rsidR="00434162">
        <w:t xml:space="preserve"> está en relación </w:t>
      </w:r>
      <w:r w:rsidR="00462ADC">
        <w:t>con el</w:t>
      </w:r>
      <w:r w:rsidR="00434162">
        <w:t xml:space="preserve"> ciclo de vida de cada hogar, por ejemplo, en educación por la presencia de menores que asisten a la escuela o en salud por la presencia de personas mayores. Incorpora gastos que están sujetos a economía de escala es decir, el tipo de gastos que no siguen una relación proporcional a la cantidad de miembros sino que aumentan en forma menos que proporcional a medida que aumenta el tamaño del hogar, por ejemplo, algunos gastos asociados a la vivienda y a los servicios básicos. Tiene en cuenta el gasto en alquiler que deben afrontar los hogares no propietarios de vivienda.</w:t>
      </w:r>
    </w:p>
    <w:p w:rsidR="000E7F79" w:rsidRPr="000E7F79" w:rsidRDefault="000E7F79" w:rsidP="000E7F79">
      <w:pPr>
        <w:jc w:val="both"/>
      </w:pPr>
    </w:p>
    <w:p w:rsidR="001A7AE7" w:rsidRDefault="00462ADC" w:rsidP="000E7F79">
      <w:pPr>
        <w:jc w:val="both"/>
      </w:pPr>
      <w:r>
        <w:tab/>
      </w:r>
      <w:r w:rsidR="001A7AE7" w:rsidRPr="000E7F79">
        <w:t xml:space="preserve">Señalamos en ese momento que los datos oficiales previos a la intervención nos mostraban una pobreza </w:t>
      </w:r>
      <w:r w:rsidR="00C960F5">
        <w:t xml:space="preserve">al primer semestre 2006 </w:t>
      </w:r>
      <w:r w:rsidR="001A7AE7" w:rsidRPr="000E7F79">
        <w:t xml:space="preserve">del </w:t>
      </w:r>
      <w:r w:rsidR="00C960F5">
        <w:t>31,4</w:t>
      </w:r>
      <w:r w:rsidR="001A7AE7" w:rsidRPr="000E7F79">
        <w:t xml:space="preserve">%, mientras que con la nueva metodología nos marca que la pobreza estaba en </w:t>
      </w:r>
      <w:r w:rsidR="00C960F5">
        <w:t>39,6</w:t>
      </w:r>
      <w:r w:rsidR="001A7AE7" w:rsidRPr="000E7F79">
        <w:t xml:space="preserve">%. Lo mismo ocurría con la indigencia, que en lugar de ser  </w:t>
      </w:r>
      <w:r w:rsidR="00C960F5">
        <w:t>11,2</w:t>
      </w:r>
      <w:r w:rsidR="001A7AE7" w:rsidRPr="000E7F79">
        <w:t xml:space="preserve">% en realidad estaba un punto por encima, </w:t>
      </w:r>
      <w:r w:rsidR="001A7AE7" w:rsidRPr="00C960F5">
        <w:t xml:space="preserve">en </w:t>
      </w:r>
      <w:r w:rsidR="00C960F5" w:rsidRPr="00C960F5">
        <w:t>14,4</w:t>
      </w:r>
      <w:r w:rsidR="001A7AE7" w:rsidRPr="00C960F5">
        <w:t>%.</w:t>
      </w:r>
      <w:r w:rsidR="001A7AE7" w:rsidRPr="000E7F79">
        <w:t xml:space="preserve"> </w:t>
      </w:r>
    </w:p>
    <w:p w:rsidR="000E7F79" w:rsidRPr="000E7F79" w:rsidRDefault="000E7F79" w:rsidP="000E7F79">
      <w:pPr>
        <w:jc w:val="both"/>
      </w:pPr>
    </w:p>
    <w:p w:rsidR="001A7AE7" w:rsidRDefault="007D7EA3" w:rsidP="000E7F79">
      <w:pPr>
        <w:jc w:val="both"/>
      </w:pPr>
      <w:r>
        <w:tab/>
      </w:r>
      <w:r w:rsidR="001A7AE7" w:rsidRPr="000E7F79">
        <w:t>Obviamente, en tanto y en cuanto la nueva metodología implicaba reconocer que la situación social de la Argentina era peor que la que se suponía, los intereses políticos dominantes en ese momento impedían que la Revisión Metodológica hecha por el INDEC se aplicara. Recordemos que ya en el año 2005 Roberto Lavagna cuestionaba la medición de la pobreza que hacía el INDEC diciendo que el organismo tomaba precios promedio de los productos en lugar de tomar el más bajo. Una vez más, los esfuerzos del gobierno se concentraban en ocultar la realidad antes que afrontarla.</w:t>
      </w:r>
    </w:p>
    <w:p w:rsidR="007D7EA3" w:rsidRPr="000E7F79" w:rsidRDefault="007D7EA3" w:rsidP="000E7F79">
      <w:pPr>
        <w:jc w:val="both"/>
      </w:pPr>
    </w:p>
    <w:p w:rsidR="001A7AE7" w:rsidRPr="000E7F79" w:rsidRDefault="007D7EA3" w:rsidP="000E7F79">
      <w:pPr>
        <w:jc w:val="both"/>
      </w:pPr>
      <w:r>
        <w:tab/>
      </w:r>
      <w:r w:rsidR="001A7AE7" w:rsidRPr="000E7F79">
        <w:t xml:space="preserve">A partir de la intervención del INDEC en del año 2007, desde el </w:t>
      </w:r>
      <w:r w:rsidR="001A7AE7" w:rsidRPr="000E7F79">
        <w:rPr>
          <w:b/>
        </w:rPr>
        <w:t>IPyPP</w:t>
      </w:r>
      <w:r w:rsidR="001A7AE7" w:rsidRPr="000E7F79">
        <w:t xml:space="preserve"> seguimos publicando mediciones de pobreza e indigencia. No hicimos una encuesta propia como otras instituciones. Lo hicimos manteniendo el seguimiento de la Base de Ingresos de la Encuesta Permanente de Hogares (EPH) y aplicando sobre la misma la nueva metodología INDEC (que hasta ese momento el organismo nunca había aplicado)</w:t>
      </w:r>
      <w:r w:rsidR="00D55503">
        <w:t xml:space="preserve"> y actualizaciones de </w:t>
      </w:r>
      <w:r w:rsidR="00D55503" w:rsidRPr="000E7F79">
        <w:t>las canastas de pobreza e indigencia</w:t>
      </w:r>
      <w:r w:rsidR="001A7AE7" w:rsidRPr="000E7F79">
        <w:t xml:space="preserve"> </w:t>
      </w:r>
      <w:r w:rsidR="00D55503">
        <w:t xml:space="preserve">a partir de índices </w:t>
      </w:r>
      <w:r w:rsidR="00EE3E42">
        <w:t xml:space="preserve">de precios </w:t>
      </w:r>
      <w:r w:rsidR="00D55503">
        <w:t>provenientes de fuentes de estadísticas públicas provinciales (</w:t>
      </w:r>
      <w:r w:rsidR="00B401E5">
        <w:t xml:space="preserve">de Chubut, Neuquén, San Luis, Santa Fe y la </w:t>
      </w:r>
      <w:r w:rsidR="00D55503">
        <w:t>Ciudad de Buenos Aires a partir del año 2013) en la medida que éstas estuvieran exentas de maniobras de manipulación.</w:t>
      </w:r>
      <w:r w:rsidR="00EE3E42">
        <w:t xml:space="preserve"> </w:t>
      </w:r>
      <w:r w:rsidR="001A7AE7" w:rsidRPr="000E7F79">
        <w:t>Nuestros datos durante la intervención fueron los siguientes:</w:t>
      </w:r>
    </w:p>
    <w:p w:rsidR="001A7AE7" w:rsidRDefault="001A7AE7" w:rsidP="001A7AE7">
      <w:pPr>
        <w:spacing w:line="360" w:lineRule="auto"/>
        <w:jc w:val="both"/>
        <w:rPr>
          <w:rFonts w:ascii="Arial" w:hAnsi="Arial" w:cs="Arial"/>
        </w:rPr>
      </w:pPr>
    </w:p>
    <w:p w:rsidR="001A7AE7" w:rsidRPr="00D55503" w:rsidRDefault="001A7AE7" w:rsidP="00D55503">
      <w:pPr>
        <w:spacing w:line="360" w:lineRule="auto"/>
        <w:jc w:val="both"/>
        <w:rPr>
          <w:rFonts w:ascii="Arial" w:hAnsi="Arial" w:cs="Arial"/>
          <w:b/>
          <w:noProof/>
          <w:lang w:val="es-ES" w:eastAsia="es-ES"/>
        </w:rPr>
      </w:pPr>
      <w:r w:rsidRPr="00634A6B">
        <w:rPr>
          <w:rFonts w:ascii="Arial" w:hAnsi="Arial" w:cs="Arial"/>
          <w:b/>
        </w:rPr>
        <w:t>Serie de pobreza e indigencia (metodología IPyPP) durante la intervención del INDEC. Años 2007-2015.</w:t>
      </w:r>
      <w:r w:rsidRPr="00634A6B">
        <w:rPr>
          <w:rFonts w:ascii="Arial" w:hAnsi="Arial" w:cs="Arial"/>
          <w:b/>
          <w:noProof/>
          <w:lang w:val="es-ES" w:eastAsia="es-ES"/>
        </w:rPr>
        <w:t xml:space="preserve"> </w:t>
      </w:r>
    </w:p>
    <w:p w:rsidR="001A7AE7" w:rsidRDefault="00D55503" w:rsidP="001A7AE7">
      <w:pPr>
        <w:spacing w:line="360" w:lineRule="auto"/>
        <w:jc w:val="both"/>
        <w:rPr>
          <w:rFonts w:ascii="Arial" w:hAnsi="Arial" w:cs="Arial"/>
        </w:rPr>
      </w:pPr>
      <w:r w:rsidRPr="00634A6B">
        <w:rPr>
          <w:rFonts w:ascii="Arial" w:hAnsi="Arial" w:cs="Arial"/>
          <w:b/>
          <w:noProof/>
          <w:lang w:eastAsia="es-AR"/>
        </w:rPr>
        <w:drawing>
          <wp:anchor distT="0" distB="0" distL="114300" distR="114300" simplePos="0" relativeHeight="251659264" behindDoc="1" locked="0" layoutInCell="1" allowOverlap="1">
            <wp:simplePos x="0" y="0"/>
            <wp:positionH relativeFrom="column">
              <wp:posOffset>1306830</wp:posOffset>
            </wp:positionH>
            <wp:positionV relativeFrom="paragraph">
              <wp:posOffset>52705</wp:posOffset>
            </wp:positionV>
            <wp:extent cx="2967990" cy="6902450"/>
            <wp:effectExtent l="0" t="0" r="3810" b="6350"/>
            <wp:wrapTight wrapText="bothSides">
              <wp:wrapPolygon edited="0">
                <wp:start x="0" y="0"/>
                <wp:lineTo x="0" y="21580"/>
                <wp:lineTo x="21535" y="21580"/>
                <wp:lineTo x="21535" y="0"/>
                <wp:lineTo x="0" y="0"/>
              </wp:wrapPolygon>
            </wp:wrapTight>
            <wp:docPr id="1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2967990" cy="6902450"/>
                    </a:xfrm>
                    <a:prstGeom prst="rect">
                      <a:avLst/>
                    </a:prstGeom>
                    <a:noFill/>
                    <a:ln w="9525">
                      <a:noFill/>
                      <a:miter lim="800000"/>
                      <a:headEnd/>
                      <a:tailEnd/>
                    </a:ln>
                  </pic:spPr>
                </pic:pic>
              </a:graphicData>
            </a:graphic>
          </wp:anchor>
        </w:drawing>
      </w:r>
    </w:p>
    <w:p w:rsidR="001A7AE7" w:rsidRDefault="001A7AE7" w:rsidP="001A7AE7">
      <w:pPr>
        <w:spacing w:line="360" w:lineRule="auto"/>
        <w:jc w:val="both"/>
        <w:rPr>
          <w:rFonts w:ascii="Arial" w:hAnsi="Arial" w:cs="Arial"/>
        </w:rPr>
      </w:pPr>
    </w:p>
    <w:p w:rsidR="001A7AE7" w:rsidRDefault="001A7AE7" w:rsidP="001A7AE7">
      <w:pPr>
        <w:spacing w:line="360" w:lineRule="auto"/>
        <w:jc w:val="both"/>
        <w:rPr>
          <w:rFonts w:ascii="Arial" w:hAnsi="Arial" w:cs="Arial"/>
        </w:rPr>
      </w:pPr>
    </w:p>
    <w:p w:rsidR="001A7AE7" w:rsidRDefault="001A7AE7" w:rsidP="001A7AE7">
      <w:pPr>
        <w:spacing w:line="360" w:lineRule="auto"/>
        <w:jc w:val="both"/>
        <w:rPr>
          <w:rFonts w:ascii="Arial" w:hAnsi="Arial" w:cs="Arial"/>
        </w:rPr>
      </w:pPr>
    </w:p>
    <w:p w:rsidR="001A7AE7" w:rsidRDefault="001A7AE7" w:rsidP="001A7AE7">
      <w:pPr>
        <w:spacing w:line="360" w:lineRule="auto"/>
        <w:jc w:val="both"/>
        <w:rPr>
          <w:rFonts w:ascii="Arial" w:hAnsi="Arial" w:cs="Arial"/>
        </w:rPr>
      </w:pPr>
    </w:p>
    <w:p w:rsidR="001A7AE7" w:rsidRDefault="001A7AE7" w:rsidP="001A7AE7">
      <w:pPr>
        <w:spacing w:line="360" w:lineRule="auto"/>
        <w:jc w:val="both"/>
        <w:rPr>
          <w:rFonts w:ascii="Arial" w:hAnsi="Arial" w:cs="Arial"/>
        </w:rPr>
      </w:pPr>
    </w:p>
    <w:p w:rsidR="001A7AE7" w:rsidRDefault="001A7AE7" w:rsidP="001A7AE7">
      <w:pPr>
        <w:spacing w:line="360" w:lineRule="auto"/>
        <w:jc w:val="both"/>
        <w:rPr>
          <w:rFonts w:ascii="Arial" w:hAnsi="Arial" w:cs="Arial"/>
        </w:rPr>
      </w:pPr>
    </w:p>
    <w:p w:rsidR="001A7AE7" w:rsidRDefault="001A7AE7" w:rsidP="001A7AE7">
      <w:pPr>
        <w:spacing w:line="360" w:lineRule="auto"/>
        <w:jc w:val="both"/>
        <w:rPr>
          <w:rFonts w:ascii="Arial" w:hAnsi="Arial" w:cs="Arial"/>
        </w:rPr>
      </w:pPr>
    </w:p>
    <w:p w:rsidR="001A7AE7" w:rsidRDefault="001A7AE7" w:rsidP="001A7AE7">
      <w:pPr>
        <w:spacing w:line="360" w:lineRule="auto"/>
        <w:jc w:val="both"/>
        <w:rPr>
          <w:rFonts w:ascii="Arial" w:hAnsi="Arial" w:cs="Arial"/>
        </w:rPr>
      </w:pPr>
    </w:p>
    <w:p w:rsidR="001A7AE7" w:rsidRDefault="001A7AE7" w:rsidP="001A7AE7">
      <w:pPr>
        <w:spacing w:line="360" w:lineRule="auto"/>
        <w:jc w:val="both"/>
        <w:rPr>
          <w:rFonts w:ascii="Arial" w:hAnsi="Arial" w:cs="Arial"/>
        </w:rPr>
      </w:pPr>
    </w:p>
    <w:p w:rsidR="001A7AE7" w:rsidRDefault="001A7AE7" w:rsidP="001A7AE7">
      <w:pPr>
        <w:spacing w:line="360" w:lineRule="auto"/>
        <w:jc w:val="both"/>
        <w:rPr>
          <w:rFonts w:ascii="Arial" w:hAnsi="Arial" w:cs="Arial"/>
        </w:rPr>
      </w:pPr>
    </w:p>
    <w:p w:rsidR="001A7AE7" w:rsidRDefault="001A7AE7" w:rsidP="001A7AE7">
      <w:pPr>
        <w:spacing w:line="360" w:lineRule="auto"/>
        <w:jc w:val="both"/>
        <w:rPr>
          <w:rFonts w:ascii="Arial" w:hAnsi="Arial" w:cs="Arial"/>
        </w:rPr>
      </w:pPr>
    </w:p>
    <w:p w:rsidR="001A7AE7" w:rsidRDefault="001A7AE7" w:rsidP="001A7AE7">
      <w:pPr>
        <w:spacing w:line="360" w:lineRule="auto"/>
        <w:jc w:val="both"/>
        <w:rPr>
          <w:rFonts w:ascii="Arial" w:hAnsi="Arial" w:cs="Arial"/>
        </w:rPr>
      </w:pPr>
    </w:p>
    <w:p w:rsidR="001A7AE7" w:rsidRDefault="001A7AE7" w:rsidP="001A7AE7">
      <w:pPr>
        <w:spacing w:line="360" w:lineRule="auto"/>
        <w:jc w:val="both"/>
        <w:rPr>
          <w:rFonts w:ascii="Arial" w:hAnsi="Arial" w:cs="Arial"/>
        </w:rPr>
      </w:pPr>
    </w:p>
    <w:p w:rsidR="001A7AE7" w:rsidRDefault="001A7AE7" w:rsidP="001A7AE7">
      <w:pPr>
        <w:spacing w:line="360" w:lineRule="auto"/>
        <w:jc w:val="both"/>
        <w:rPr>
          <w:rFonts w:ascii="Arial" w:hAnsi="Arial" w:cs="Arial"/>
        </w:rPr>
      </w:pPr>
    </w:p>
    <w:p w:rsidR="001A7AE7" w:rsidRDefault="001A7AE7" w:rsidP="001A7AE7">
      <w:pPr>
        <w:spacing w:line="360" w:lineRule="auto"/>
        <w:jc w:val="both"/>
        <w:rPr>
          <w:rFonts w:ascii="Arial" w:hAnsi="Arial" w:cs="Arial"/>
        </w:rPr>
      </w:pPr>
    </w:p>
    <w:p w:rsidR="001A7AE7" w:rsidRDefault="001A7AE7" w:rsidP="001A7AE7">
      <w:pPr>
        <w:spacing w:line="360" w:lineRule="auto"/>
        <w:jc w:val="both"/>
        <w:rPr>
          <w:rFonts w:ascii="Arial" w:hAnsi="Arial" w:cs="Arial"/>
        </w:rPr>
      </w:pPr>
    </w:p>
    <w:p w:rsidR="001A7AE7" w:rsidRDefault="001A7AE7" w:rsidP="001A7AE7">
      <w:pPr>
        <w:spacing w:line="360" w:lineRule="auto"/>
        <w:jc w:val="both"/>
        <w:rPr>
          <w:rFonts w:ascii="Arial" w:hAnsi="Arial" w:cs="Arial"/>
        </w:rPr>
      </w:pPr>
    </w:p>
    <w:p w:rsidR="001A7AE7" w:rsidRDefault="001A7AE7" w:rsidP="001A7AE7">
      <w:pPr>
        <w:rPr>
          <w:rFonts w:ascii="Arial" w:hAnsi="Arial" w:cs="Arial"/>
        </w:rPr>
      </w:pPr>
    </w:p>
    <w:p w:rsidR="00B716F3" w:rsidRDefault="00B716F3" w:rsidP="001A7AE7">
      <w:pPr>
        <w:rPr>
          <w:rFonts w:ascii="Arial" w:hAnsi="Arial" w:cs="Arial"/>
        </w:rPr>
      </w:pPr>
    </w:p>
    <w:p w:rsidR="007D7EA3" w:rsidRDefault="007D7EA3" w:rsidP="001A7AE7">
      <w:pPr>
        <w:jc w:val="center"/>
        <w:rPr>
          <w:rFonts w:ascii="Arial" w:hAnsi="Arial" w:cs="Arial"/>
          <w:b/>
          <w:sz w:val="20"/>
        </w:rPr>
      </w:pPr>
    </w:p>
    <w:p w:rsidR="007D7EA3" w:rsidRDefault="007D7EA3" w:rsidP="001A7AE7">
      <w:pPr>
        <w:jc w:val="center"/>
        <w:rPr>
          <w:rFonts w:ascii="Arial" w:hAnsi="Arial" w:cs="Arial"/>
          <w:b/>
          <w:sz w:val="20"/>
        </w:rPr>
      </w:pPr>
    </w:p>
    <w:p w:rsidR="007D7EA3" w:rsidRDefault="007D7EA3" w:rsidP="001A7AE7">
      <w:pPr>
        <w:jc w:val="center"/>
        <w:rPr>
          <w:rFonts w:ascii="Arial" w:hAnsi="Arial" w:cs="Arial"/>
          <w:b/>
          <w:sz w:val="20"/>
        </w:rPr>
      </w:pPr>
    </w:p>
    <w:p w:rsidR="007D7EA3" w:rsidRDefault="007D7EA3" w:rsidP="001A7AE7">
      <w:pPr>
        <w:jc w:val="center"/>
        <w:rPr>
          <w:rFonts w:ascii="Arial" w:hAnsi="Arial" w:cs="Arial"/>
          <w:b/>
          <w:sz w:val="20"/>
        </w:rPr>
      </w:pPr>
    </w:p>
    <w:p w:rsidR="007D7EA3" w:rsidRDefault="007D7EA3" w:rsidP="001A7AE7">
      <w:pPr>
        <w:jc w:val="center"/>
        <w:rPr>
          <w:rFonts w:ascii="Arial" w:hAnsi="Arial" w:cs="Arial"/>
          <w:b/>
          <w:sz w:val="20"/>
        </w:rPr>
      </w:pPr>
    </w:p>
    <w:p w:rsidR="007D7EA3" w:rsidRDefault="007D7EA3" w:rsidP="001A7AE7">
      <w:pPr>
        <w:jc w:val="center"/>
        <w:rPr>
          <w:rFonts w:ascii="Arial" w:hAnsi="Arial" w:cs="Arial"/>
          <w:b/>
          <w:sz w:val="20"/>
        </w:rPr>
      </w:pPr>
    </w:p>
    <w:p w:rsidR="007D7EA3" w:rsidRDefault="007D7EA3" w:rsidP="001A7AE7">
      <w:pPr>
        <w:jc w:val="center"/>
        <w:rPr>
          <w:rFonts w:ascii="Arial" w:hAnsi="Arial" w:cs="Arial"/>
          <w:b/>
          <w:sz w:val="20"/>
        </w:rPr>
      </w:pPr>
    </w:p>
    <w:p w:rsidR="007D7EA3" w:rsidRDefault="007D7EA3" w:rsidP="001A7AE7">
      <w:pPr>
        <w:jc w:val="center"/>
        <w:rPr>
          <w:rFonts w:ascii="Arial" w:hAnsi="Arial" w:cs="Arial"/>
          <w:b/>
          <w:sz w:val="20"/>
        </w:rPr>
      </w:pPr>
    </w:p>
    <w:p w:rsidR="007D7EA3" w:rsidRDefault="007D7EA3" w:rsidP="001A7AE7">
      <w:pPr>
        <w:jc w:val="center"/>
        <w:rPr>
          <w:rFonts w:ascii="Arial" w:hAnsi="Arial" w:cs="Arial"/>
          <w:b/>
          <w:sz w:val="20"/>
        </w:rPr>
      </w:pPr>
    </w:p>
    <w:p w:rsidR="007D7EA3" w:rsidRDefault="007D7EA3" w:rsidP="001A7AE7">
      <w:pPr>
        <w:jc w:val="center"/>
        <w:rPr>
          <w:rFonts w:ascii="Arial" w:hAnsi="Arial" w:cs="Arial"/>
          <w:b/>
          <w:sz w:val="20"/>
        </w:rPr>
      </w:pPr>
    </w:p>
    <w:p w:rsidR="007D7EA3" w:rsidRDefault="007D7EA3" w:rsidP="001A7AE7">
      <w:pPr>
        <w:jc w:val="center"/>
        <w:rPr>
          <w:rFonts w:ascii="Arial" w:hAnsi="Arial" w:cs="Arial"/>
          <w:b/>
          <w:sz w:val="20"/>
        </w:rPr>
      </w:pPr>
    </w:p>
    <w:p w:rsidR="007D7EA3" w:rsidRDefault="007D7EA3" w:rsidP="001A7AE7">
      <w:pPr>
        <w:jc w:val="center"/>
        <w:rPr>
          <w:rFonts w:ascii="Arial" w:hAnsi="Arial" w:cs="Arial"/>
          <w:b/>
          <w:sz w:val="20"/>
        </w:rPr>
      </w:pPr>
    </w:p>
    <w:p w:rsidR="007D7EA3" w:rsidRDefault="007D7EA3" w:rsidP="001A7AE7">
      <w:pPr>
        <w:jc w:val="center"/>
        <w:rPr>
          <w:rFonts w:ascii="Arial" w:hAnsi="Arial" w:cs="Arial"/>
          <w:b/>
          <w:sz w:val="20"/>
        </w:rPr>
      </w:pPr>
    </w:p>
    <w:p w:rsidR="007D7EA3" w:rsidRDefault="007D7EA3" w:rsidP="001A7AE7">
      <w:pPr>
        <w:jc w:val="center"/>
        <w:rPr>
          <w:rFonts w:ascii="Arial" w:hAnsi="Arial" w:cs="Arial"/>
          <w:b/>
          <w:sz w:val="20"/>
        </w:rPr>
      </w:pPr>
    </w:p>
    <w:p w:rsidR="007D7EA3" w:rsidRDefault="007D7EA3" w:rsidP="001A7AE7">
      <w:pPr>
        <w:jc w:val="center"/>
        <w:rPr>
          <w:rFonts w:ascii="Arial" w:hAnsi="Arial" w:cs="Arial"/>
          <w:b/>
          <w:sz w:val="20"/>
        </w:rPr>
      </w:pPr>
    </w:p>
    <w:p w:rsidR="007D7EA3" w:rsidRDefault="007D7EA3" w:rsidP="001A7AE7">
      <w:pPr>
        <w:jc w:val="center"/>
        <w:rPr>
          <w:rFonts w:ascii="Arial" w:hAnsi="Arial" w:cs="Arial"/>
          <w:b/>
          <w:sz w:val="20"/>
        </w:rPr>
      </w:pPr>
    </w:p>
    <w:p w:rsidR="00D55503" w:rsidRDefault="001A7AE7" w:rsidP="00D55503">
      <w:pPr>
        <w:jc w:val="center"/>
        <w:rPr>
          <w:rFonts w:ascii="Arial" w:hAnsi="Arial" w:cs="Arial"/>
          <w:sz w:val="20"/>
        </w:rPr>
      </w:pPr>
      <w:r w:rsidRPr="00762095">
        <w:rPr>
          <w:rFonts w:ascii="Arial" w:hAnsi="Arial" w:cs="Arial"/>
          <w:b/>
          <w:sz w:val="20"/>
        </w:rPr>
        <w:t>Fuente</w:t>
      </w:r>
      <w:r w:rsidRPr="00762095">
        <w:rPr>
          <w:rFonts w:ascii="Arial" w:hAnsi="Arial" w:cs="Arial"/>
          <w:sz w:val="20"/>
        </w:rPr>
        <w:t>: elaboración propia en base a datos de EPH-INDEC</w:t>
      </w:r>
    </w:p>
    <w:p w:rsidR="00D55503" w:rsidRDefault="00D55503" w:rsidP="00D55503">
      <w:pPr>
        <w:jc w:val="center"/>
        <w:rPr>
          <w:rFonts w:ascii="Arial" w:hAnsi="Arial" w:cs="Arial"/>
          <w:sz w:val="20"/>
        </w:rPr>
      </w:pPr>
    </w:p>
    <w:p w:rsidR="001A7AE7" w:rsidRPr="00D55503" w:rsidRDefault="00D55503" w:rsidP="00D55503">
      <w:pPr>
        <w:jc w:val="both"/>
      </w:pPr>
      <w:r>
        <w:tab/>
      </w:r>
      <w:r w:rsidR="001A7AE7" w:rsidRPr="00D55503">
        <w:t xml:space="preserve">Puesta en marcha la nueva etapa del organismo en el marco del inicio del gobierno de Cambiemos, el equipo de la EPH (conducido ahora nuevamente por la directora que había sido desplazada - Cinthia Pok - por no acatar las directivas de la intervención) plantea un reajuste metodológico que incorpora, en parte, la Revisión Metodológica </w:t>
      </w:r>
      <w:r w:rsidR="00A1178F">
        <w:t xml:space="preserve">mencionada </w:t>
      </w:r>
      <w:r w:rsidR="001A7AE7" w:rsidRPr="00D55503">
        <w:t>con algunas modificaciones y lleva adelante también una actualización de las canastas de pobreza e indigencia (</w:t>
      </w:r>
      <w:r>
        <w:t xml:space="preserve">en </w:t>
      </w:r>
      <w:r w:rsidRPr="00D55503">
        <w:t xml:space="preserve">pocos términos, </w:t>
      </w:r>
      <w:r>
        <w:t xml:space="preserve">se </w:t>
      </w:r>
      <w:r w:rsidRPr="00D55503">
        <w:t>actualiz</w:t>
      </w:r>
      <w:r w:rsidR="00A1178F">
        <w:t>ó</w:t>
      </w:r>
      <w:r w:rsidRPr="00D55503">
        <w:t xml:space="preserve"> el patrón de consumo de las CBA según las dos últimas encuestras de ingresos y gastos del 1996/7 y 2004/5, </w:t>
      </w:r>
      <w:r w:rsidR="00A1178F">
        <w:t xml:space="preserve">se </w:t>
      </w:r>
      <w:r w:rsidRPr="00D55503">
        <w:t>conforma</w:t>
      </w:r>
      <w:r w:rsidR="00A1178F">
        <w:t>ron</w:t>
      </w:r>
      <w:r w:rsidRPr="00D55503">
        <w:t xml:space="preserve"> canastas regionales adecuadas</w:t>
      </w:r>
      <w:r>
        <w:t xml:space="preserve"> a los consumos correspondientes y si bien</w:t>
      </w:r>
      <w:r w:rsidR="00A1178F">
        <w:t>,</w:t>
      </w:r>
      <w:r>
        <w:t xml:space="preserve"> sostiene una medición indirecta</w:t>
      </w:r>
      <w:r w:rsidR="00A1178F">
        <w:t xml:space="preserve"> de los gastos no alimentarios</w:t>
      </w:r>
      <w:r>
        <w:t xml:space="preserve"> </w:t>
      </w:r>
      <w:r w:rsidR="00A1178F">
        <w:t>-la inversa del coeficiente de Engel-</w:t>
      </w:r>
      <w:r>
        <w:t xml:space="preserve">, </w:t>
      </w:r>
      <w:r w:rsidR="00A1178F">
        <w:t xml:space="preserve">se </w:t>
      </w:r>
      <w:r>
        <w:t>actualiz</w:t>
      </w:r>
      <w:r w:rsidR="00A1178F">
        <w:t>ó la relación</w:t>
      </w:r>
      <w:r>
        <w:t xml:space="preserve"> </w:t>
      </w:r>
      <w:r w:rsidR="00A1178F">
        <w:t>conforme al aumento del peso de este tipo de gasto en el total</w:t>
      </w:r>
      <w:r w:rsidR="001A7AE7" w:rsidRPr="00D55503">
        <w:t>). De este modo, la primera medición del Nuevo INDEC obtuvo los siguientes índices.</w:t>
      </w:r>
    </w:p>
    <w:p w:rsidR="001A7AE7" w:rsidRDefault="001A7AE7" w:rsidP="001A7AE7">
      <w:pPr>
        <w:spacing w:line="360" w:lineRule="auto"/>
        <w:jc w:val="both"/>
        <w:rPr>
          <w:rFonts w:ascii="Arial" w:hAnsi="Arial" w:cs="Arial"/>
        </w:rPr>
      </w:pPr>
    </w:p>
    <w:p w:rsidR="001A7AE7" w:rsidRDefault="001A7AE7" w:rsidP="001A7AE7">
      <w:pPr>
        <w:spacing w:line="360" w:lineRule="auto"/>
        <w:jc w:val="both"/>
        <w:rPr>
          <w:rFonts w:ascii="Arial" w:hAnsi="Arial" w:cs="Arial"/>
          <w:b/>
        </w:rPr>
      </w:pPr>
      <w:r>
        <w:rPr>
          <w:rFonts w:ascii="Arial" w:hAnsi="Arial" w:cs="Arial"/>
          <w:b/>
        </w:rPr>
        <w:t xml:space="preserve">Primera medición de pobreza e indigencia finalizada la intervención del INDEC y comparación con el método alternativo IPyPP. 2º Trimestre 2016. </w:t>
      </w:r>
    </w:p>
    <w:p w:rsidR="00481F4D" w:rsidRDefault="00481F4D" w:rsidP="00481F4D">
      <w:pPr>
        <w:spacing w:line="360" w:lineRule="auto"/>
        <w:jc w:val="center"/>
        <w:rPr>
          <w:rFonts w:ascii="Arial" w:hAnsi="Arial" w:cs="Arial"/>
          <w:b/>
        </w:rPr>
      </w:pPr>
      <w:r w:rsidRPr="00481F4D">
        <w:rPr>
          <w:rFonts w:ascii="Arial" w:hAnsi="Arial" w:cs="Arial"/>
          <w:b/>
          <w:noProof/>
          <w:lang w:eastAsia="es-AR"/>
        </w:rPr>
        <w:drawing>
          <wp:inline distT="0" distB="0" distL="0" distR="0">
            <wp:extent cx="4203700" cy="2108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203700" cy="2108200"/>
                    </a:xfrm>
                    <a:prstGeom prst="rect">
                      <a:avLst/>
                    </a:prstGeom>
                  </pic:spPr>
                </pic:pic>
              </a:graphicData>
            </a:graphic>
          </wp:inline>
        </w:drawing>
      </w:r>
    </w:p>
    <w:p w:rsidR="001A7AE7" w:rsidRDefault="001A7AE7" w:rsidP="001A7AE7">
      <w:pPr>
        <w:spacing w:line="360" w:lineRule="auto"/>
        <w:jc w:val="center"/>
        <w:rPr>
          <w:rFonts w:ascii="Arial" w:hAnsi="Arial" w:cs="Arial"/>
          <w:sz w:val="20"/>
        </w:rPr>
      </w:pPr>
      <w:r w:rsidRPr="00762095">
        <w:rPr>
          <w:rFonts w:ascii="Arial" w:hAnsi="Arial" w:cs="Arial"/>
          <w:b/>
          <w:sz w:val="20"/>
        </w:rPr>
        <w:t>Fuente</w:t>
      </w:r>
      <w:r w:rsidRPr="00762095">
        <w:rPr>
          <w:rFonts w:ascii="Arial" w:hAnsi="Arial" w:cs="Arial"/>
          <w:sz w:val="20"/>
        </w:rPr>
        <w:t>: elaboración propia en base a datos de EPH-INDEC.</w:t>
      </w:r>
    </w:p>
    <w:p w:rsidR="001A7AE7" w:rsidRDefault="001A7AE7" w:rsidP="001A7AE7">
      <w:pPr>
        <w:spacing w:line="360" w:lineRule="auto"/>
        <w:rPr>
          <w:rFonts w:ascii="Arial" w:hAnsi="Arial" w:cs="Arial"/>
          <w:sz w:val="20"/>
        </w:rPr>
      </w:pPr>
    </w:p>
    <w:p w:rsidR="001A7AE7" w:rsidRDefault="00481F4D" w:rsidP="00481F4D">
      <w:pPr>
        <w:jc w:val="both"/>
      </w:pPr>
      <w:r>
        <w:tab/>
      </w:r>
      <w:r w:rsidR="001A7AE7" w:rsidRPr="00481F4D">
        <w:t xml:space="preserve">Como se </w:t>
      </w:r>
      <w:r>
        <w:t>observa</w:t>
      </w:r>
      <w:r w:rsidR="001A7AE7" w:rsidRPr="00481F4D">
        <w:t xml:space="preserve">, las diferencias con nuestra medición eran </w:t>
      </w:r>
      <w:r>
        <w:t>mayores en el nivel de indigencia y similares en relación con el nivel de pobreza.</w:t>
      </w:r>
    </w:p>
    <w:p w:rsidR="00481F4D" w:rsidRPr="00481F4D" w:rsidRDefault="00481F4D" w:rsidP="00481F4D">
      <w:pPr>
        <w:jc w:val="both"/>
      </w:pPr>
    </w:p>
    <w:p w:rsidR="001A7AE7" w:rsidRDefault="00481F4D" w:rsidP="00481F4D">
      <w:pPr>
        <w:jc w:val="both"/>
      </w:pPr>
      <w:r>
        <w:tab/>
      </w:r>
      <w:r w:rsidR="001A7AE7" w:rsidRPr="00481F4D">
        <w:t xml:space="preserve">A partir de ese momento, nuestro Instituto mantiene el seguimiento de pobreza e indigencia en base a los datos que proporciona el INDEC. Sin embargo, a diferencia de la presentación semestral que hace el organismo, desde el </w:t>
      </w:r>
      <w:r w:rsidR="001A7AE7" w:rsidRPr="00481F4D">
        <w:rPr>
          <w:b/>
        </w:rPr>
        <w:t xml:space="preserve">IPyPP </w:t>
      </w:r>
      <w:r w:rsidR="001A7AE7" w:rsidRPr="00481F4D">
        <w:t xml:space="preserve">mantenemos un seguimiento trimestral comparando los valores de las respectivas canastas con la base de ingresos que trimestralmente nos brinda la EPH. En ese marco, presentamos la serie completa desde el 2007 hasta hoy: </w:t>
      </w:r>
    </w:p>
    <w:p w:rsidR="00481F4D" w:rsidRDefault="00481F4D" w:rsidP="00481F4D">
      <w:pPr>
        <w:jc w:val="both"/>
      </w:pPr>
    </w:p>
    <w:p w:rsidR="00481F4D" w:rsidRDefault="00481F4D" w:rsidP="00481F4D">
      <w:pPr>
        <w:jc w:val="both"/>
      </w:pPr>
    </w:p>
    <w:p w:rsidR="00481F4D" w:rsidRDefault="00481F4D" w:rsidP="00481F4D">
      <w:pPr>
        <w:jc w:val="both"/>
      </w:pPr>
    </w:p>
    <w:p w:rsidR="00481F4D" w:rsidRDefault="00481F4D" w:rsidP="00481F4D">
      <w:pPr>
        <w:jc w:val="both"/>
      </w:pPr>
    </w:p>
    <w:p w:rsidR="00481F4D" w:rsidRDefault="00481F4D" w:rsidP="00481F4D">
      <w:pPr>
        <w:jc w:val="both"/>
      </w:pPr>
    </w:p>
    <w:p w:rsidR="00481F4D" w:rsidRPr="00481F4D" w:rsidRDefault="00481F4D" w:rsidP="00481F4D">
      <w:pPr>
        <w:jc w:val="both"/>
      </w:pPr>
    </w:p>
    <w:p w:rsidR="001A7AE7" w:rsidRPr="00481F4D" w:rsidRDefault="001A7AE7" w:rsidP="001A7AE7">
      <w:pPr>
        <w:spacing w:line="360" w:lineRule="auto"/>
        <w:jc w:val="center"/>
        <w:rPr>
          <w:rFonts w:ascii="Arial" w:hAnsi="Arial" w:cs="Arial"/>
          <w:b/>
          <w:sz w:val="22"/>
          <w:szCs w:val="22"/>
        </w:rPr>
      </w:pPr>
      <w:r w:rsidRPr="00481F4D">
        <w:rPr>
          <w:rFonts w:ascii="Arial" w:hAnsi="Arial" w:cs="Arial"/>
          <w:b/>
          <w:sz w:val="22"/>
          <w:szCs w:val="22"/>
        </w:rPr>
        <w:t xml:space="preserve">Serie de pobreza e indigencia 2007-2019. Estimación IPyPP 2007-2015 y Metodología INDEC (2016) a partir de II Trim 2016. </w:t>
      </w:r>
    </w:p>
    <w:p w:rsidR="001A7AE7" w:rsidRDefault="001A7AE7" w:rsidP="001A7AE7">
      <w:pPr>
        <w:spacing w:line="360" w:lineRule="auto"/>
        <w:jc w:val="both"/>
        <w:rPr>
          <w:rFonts w:ascii="Arial" w:hAnsi="Arial" w:cs="Arial"/>
        </w:rPr>
      </w:pPr>
      <w:r>
        <w:rPr>
          <w:rFonts w:ascii="Arial" w:hAnsi="Arial" w:cs="Arial"/>
          <w:noProof/>
          <w:lang w:eastAsia="es-AR"/>
        </w:rPr>
        <w:drawing>
          <wp:anchor distT="0" distB="0" distL="114300" distR="114300" simplePos="0" relativeHeight="251660288" behindDoc="1" locked="0" layoutInCell="1" allowOverlap="1">
            <wp:simplePos x="0" y="0"/>
            <wp:positionH relativeFrom="column">
              <wp:posOffset>1005840</wp:posOffset>
            </wp:positionH>
            <wp:positionV relativeFrom="paragraph">
              <wp:posOffset>126365</wp:posOffset>
            </wp:positionV>
            <wp:extent cx="3527425" cy="8045450"/>
            <wp:effectExtent l="19050" t="0" r="0" b="0"/>
            <wp:wrapTight wrapText="bothSides">
              <wp:wrapPolygon edited="0">
                <wp:start x="-117" y="0"/>
                <wp:lineTo x="-117" y="21481"/>
                <wp:lineTo x="21581" y="21481"/>
                <wp:lineTo x="21581" y="0"/>
                <wp:lineTo x="-117" y="0"/>
              </wp:wrapPolygon>
            </wp:wrapTight>
            <wp:docPr id="2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3527425" cy="8045450"/>
                    </a:xfrm>
                    <a:prstGeom prst="rect">
                      <a:avLst/>
                    </a:prstGeom>
                    <a:noFill/>
                    <a:ln w="9525">
                      <a:noFill/>
                      <a:miter lim="800000"/>
                      <a:headEnd/>
                      <a:tailEnd/>
                    </a:ln>
                  </pic:spPr>
                </pic:pic>
              </a:graphicData>
            </a:graphic>
          </wp:anchor>
        </w:drawing>
      </w:r>
    </w:p>
    <w:p w:rsidR="001A7AE7" w:rsidRDefault="001A7AE7" w:rsidP="001A7AE7">
      <w:pPr>
        <w:spacing w:line="360" w:lineRule="auto"/>
        <w:jc w:val="both"/>
        <w:rPr>
          <w:rFonts w:ascii="Arial" w:hAnsi="Arial" w:cs="Arial"/>
        </w:rPr>
      </w:pPr>
    </w:p>
    <w:p w:rsidR="001A7AE7" w:rsidRDefault="001A7AE7" w:rsidP="001A7AE7">
      <w:pPr>
        <w:spacing w:line="360" w:lineRule="auto"/>
        <w:jc w:val="both"/>
        <w:rPr>
          <w:rFonts w:ascii="Arial" w:hAnsi="Arial" w:cs="Arial"/>
        </w:rPr>
      </w:pPr>
    </w:p>
    <w:p w:rsidR="001A7AE7" w:rsidRDefault="001A7AE7" w:rsidP="001A7AE7">
      <w:pPr>
        <w:spacing w:line="360" w:lineRule="auto"/>
        <w:jc w:val="both"/>
        <w:rPr>
          <w:rFonts w:ascii="Arial" w:hAnsi="Arial" w:cs="Arial"/>
        </w:rPr>
      </w:pPr>
    </w:p>
    <w:p w:rsidR="001A7AE7" w:rsidRDefault="001A7AE7" w:rsidP="001A7AE7">
      <w:pPr>
        <w:spacing w:line="360" w:lineRule="auto"/>
        <w:jc w:val="both"/>
        <w:rPr>
          <w:rFonts w:ascii="Arial" w:hAnsi="Arial" w:cs="Arial"/>
        </w:rPr>
      </w:pPr>
    </w:p>
    <w:p w:rsidR="001A7AE7" w:rsidRDefault="001A7AE7" w:rsidP="001A7AE7">
      <w:pPr>
        <w:rPr>
          <w:rFonts w:ascii="Arial" w:hAnsi="Arial" w:cs="Arial"/>
        </w:rPr>
      </w:pPr>
      <w:r>
        <w:rPr>
          <w:rFonts w:ascii="Arial" w:hAnsi="Arial" w:cs="Arial"/>
        </w:rPr>
        <w:br w:type="page"/>
      </w:r>
    </w:p>
    <w:p w:rsidR="001A7AE7" w:rsidRPr="00F21EF9" w:rsidRDefault="001A7AE7" w:rsidP="001A7AE7">
      <w:pPr>
        <w:spacing w:line="360" w:lineRule="auto"/>
        <w:jc w:val="center"/>
        <w:rPr>
          <w:rFonts w:ascii="Arial" w:hAnsi="Arial" w:cs="Arial"/>
        </w:rPr>
      </w:pPr>
      <w:r w:rsidRPr="00782D99">
        <w:rPr>
          <w:noProof/>
          <w:lang w:eastAsia="es-AR"/>
        </w:rPr>
        <w:drawing>
          <wp:inline distT="0" distB="0" distL="0" distR="0">
            <wp:extent cx="3615055" cy="3157855"/>
            <wp:effectExtent l="19050" t="0" r="4445" b="0"/>
            <wp:docPr id="2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srcRect/>
                    <a:stretch>
                      <a:fillRect/>
                    </a:stretch>
                  </pic:blipFill>
                  <pic:spPr bwMode="auto">
                    <a:xfrm>
                      <a:off x="0" y="0"/>
                      <a:ext cx="3615055" cy="3157855"/>
                    </a:xfrm>
                    <a:prstGeom prst="rect">
                      <a:avLst/>
                    </a:prstGeom>
                    <a:noFill/>
                    <a:ln w="9525">
                      <a:noFill/>
                      <a:miter lim="800000"/>
                      <a:headEnd/>
                      <a:tailEnd/>
                    </a:ln>
                  </pic:spPr>
                </pic:pic>
              </a:graphicData>
            </a:graphic>
          </wp:inline>
        </w:drawing>
      </w:r>
    </w:p>
    <w:p w:rsidR="00A674D6" w:rsidRDefault="00A674D6" w:rsidP="00050862">
      <w:pPr>
        <w:jc w:val="both"/>
        <w:rPr>
          <w:lang w:val="es-ES"/>
        </w:rPr>
      </w:pPr>
    </w:p>
    <w:p w:rsidR="00A674D6" w:rsidRDefault="00A674D6" w:rsidP="00050862">
      <w:pPr>
        <w:jc w:val="both"/>
        <w:rPr>
          <w:lang w:val="es-ES"/>
        </w:rPr>
      </w:pPr>
    </w:p>
    <w:p w:rsidR="00A674D6" w:rsidRDefault="00A674D6" w:rsidP="00050862">
      <w:pPr>
        <w:jc w:val="both"/>
        <w:rPr>
          <w:lang w:val="es-ES"/>
        </w:rPr>
      </w:pPr>
    </w:p>
    <w:p w:rsidR="00A674D6" w:rsidRDefault="00A674D6" w:rsidP="00050862">
      <w:pPr>
        <w:jc w:val="both"/>
        <w:rPr>
          <w:lang w:val="es-ES"/>
        </w:rPr>
      </w:pPr>
    </w:p>
    <w:p w:rsidR="00A674D6" w:rsidRDefault="00A674D6" w:rsidP="00050862">
      <w:pPr>
        <w:jc w:val="both"/>
        <w:rPr>
          <w:lang w:val="es-ES"/>
        </w:rPr>
      </w:pPr>
    </w:p>
    <w:p w:rsidR="00D62857" w:rsidRPr="001A7AE7" w:rsidRDefault="00D62857" w:rsidP="00D62857">
      <w:pPr>
        <w:jc w:val="both"/>
        <w:rPr>
          <w:rFonts w:ascii="Arial" w:hAnsi="Arial" w:cs="Arial"/>
          <w:b/>
          <w:sz w:val="20"/>
          <w:lang w:val="es-ES"/>
        </w:rPr>
      </w:pPr>
      <w:r w:rsidRPr="001A7AE7">
        <w:rPr>
          <w:rFonts w:ascii="Arial" w:hAnsi="Arial" w:cs="Arial"/>
          <w:b/>
          <w:sz w:val="20"/>
          <w:lang w:val="es-ES"/>
        </w:rPr>
        <w:t xml:space="preserve">Gráfico Nº1. </w:t>
      </w:r>
      <w:r w:rsidRPr="00B716F3">
        <w:rPr>
          <w:rFonts w:ascii="Arial" w:hAnsi="Arial" w:cs="Arial"/>
          <w:sz w:val="20"/>
          <w:lang w:val="es-ES"/>
        </w:rPr>
        <w:t>Serie de pobreza (2007-2019). Estimación propia IPyPP 2007-2015 + Metodología INDEC (2016).</w:t>
      </w:r>
      <w:r w:rsidRPr="001A7AE7">
        <w:rPr>
          <w:rFonts w:ascii="Arial" w:hAnsi="Arial" w:cs="Arial"/>
          <w:b/>
          <w:sz w:val="20"/>
          <w:lang w:val="es-ES"/>
        </w:rPr>
        <w:t xml:space="preserve"> </w:t>
      </w:r>
    </w:p>
    <w:p w:rsidR="00D62857" w:rsidRDefault="00D62857" w:rsidP="00D62857">
      <w:pPr>
        <w:jc w:val="both"/>
        <w:rPr>
          <w:lang w:val="es-ES"/>
        </w:rPr>
      </w:pPr>
      <w:r>
        <w:rPr>
          <w:noProof/>
          <w:lang w:eastAsia="es-AR"/>
        </w:rPr>
        <w:drawing>
          <wp:inline distT="0" distB="0" distL="0" distR="0">
            <wp:extent cx="5398770" cy="1939925"/>
            <wp:effectExtent l="1905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398770" cy="1939925"/>
                    </a:xfrm>
                    <a:prstGeom prst="rect">
                      <a:avLst/>
                    </a:prstGeom>
                    <a:noFill/>
                    <a:ln w="9525">
                      <a:noFill/>
                      <a:miter lim="800000"/>
                      <a:headEnd/>
                      <a:tailEnd/>
                    </a:ln>
                  </pic:spPr>
                </pic:pic>
              </a:graphicData>
            </a:graphic>
          </wp:inline>
        </w:drawing>
      </w:r>
    </w:p>
    <w:p w:rsidR="00D62857" w:rsidRPr="001A7AE7" w:rsidRDefault="00D62857" w:rsidP="00D62857">
      <w:pPr>
        <w:jc w:val="both"/>
        <w:rPr>
          <w:rFonts w:ascii="Arial" w:hAnsi="Arial" w:cs="Arial"/>
          <w:sz w:val="20"/>
          <w:lang w:val="es-ES"/>
        </w:rPr>
      </w:pPr>
      <w:r w:rsidRPr="001A7AE7">
        <w:rPr>
          <w:rFonts w:ascii="Arial" w:hAnsi="Arial" w:cs="Arial"/>
          <w:b/>
          <w:sz w:val="20"/>
          <w:lang w:val="es-ES"/>
        </w:rPr>
        <w:t>Fuente</w:t>
      </w:r>
      <w:r w:rsidRPr="001A7AE7">
        <w:rPr>
          <w:rFonts w:ascii="Arial" w:hAnsi="Arial" w:cs="Arial"/>
          <w:sz w:val="20"/>
          <w:lang w:val="es-ES"/>
        </w:rPr>
        <w:t>: elaboración propia en base a datos de EPH-INDEC.</w:t>
      </w:r>
    </w:p>
    <w:p w:rsidR="00D62857" w:rsidRDefault="00D62857" w:rsidP="00D62857">
      <w:pPr>
        <w:jc w:val="both"/>
        <w:rPr>
          <w:rFonts w:ascii="Arial" w:hAnsi="Arial" w:cs="Arial"/>
          <w:b/>
          <w:sz w:val="20"/>
          <w:lang w:val="es-ES"/>
        </w:rPr>
      </w:pPr>
    </w:p>
    <w:p w:rsidR="00D62857" w:rsidRDefault="00D62857" w:rsidP="00D62857">
      <w:pPr>
        <w:jc w:val="both"/>
        <w:rPr>
          <w:rFonts w:ascii="Arial" w:hAnsi="Arial" w:cs="Arial"/>
          <w:b/>
          <w:sz w:val="20"/>
          <w:lang w:val="es-ES"/>
        </w:rPr>
      </w:pPr>
    </w:p>
    <w:p w:rsidR="00D62857" w:rsidRDefault="00D62857" w:rsidP="00D62857">
      <w:pPr>
        <w:jc w:val="both"/>
        <w:rPr>
          <w:rFonts w:ascii="Arial" w:hAnsi="Arial" w:cs="Arial"/>
          <w:b/>
          <w:sz w:val="20"/>
          <w:lang w:val="es-ES"/>
        </w:rPr>
      </w:pPr>
    </w:p>
    <w:p w:rsidR="00D62857" w:rsidRDefault="00D62857" w:rsidP="00D62857">
      <w:pPr>
        <w:jc w:val="both"/>
        <w:rPr>
          <w:rFonts w:ascii="Arial" w:hAnsi="Arial" w:cs="Arial"/>
          <w:b/>
          <w:sz w:val="20"/>
          <w:lang w:val="es-ES"/>
        </w:rPr>
      </w:pPr>
    </w:p>
    <w:p w:rsidR="00D62857" w:rsidRDefault="00D62857" w:rsidP="00D62857">
      <w:pPr>
        <w:jc w:val="both"/>
        <w:rPr>
          <w:rFonts w:ascii="Arial" w:hAnsi="Arial" w:cs="Arial"/>
          <w:b/>
          <w:sz w:val="20"/>
          <w:lang w:val="es-ES"/>
        </w:rPr>
      </w:pPr>
    </w:p>
    <w:p w:rsidR="00D62857" w:rsidRDefault="00D62857" w:rsidP="00D62857">
      <w:pPr>
        <w:jc w:val="both"/>
        <w:rPr>
          <w:rFonts w:ascii="Arial" w:hAnsi="Arial" w:cs="Arial"/>
          <w:b/>
          <w:sz w:val="20"/>
          <w:lang w:val="es-ES"/>
        </w:rPr>
      </w:pPr>
    </w:p>
    <w:p w:rsidR="00D62857" w:rsidRDefault="00D62857" w:rsidP="00D62857">
      <w:pPr>
        <w:jc w:val="both"/>
        <w:rPr>
          <w:rFonts w:ascii="Arial" w:hAnsi="Arial" w:cs="Arial"/>
          <w:b/>
          <w:sz w:val="20"/>
          <w:lang w:val="es-ES"/>
        </w:rPr>
      </w:pPr>
    </w:p>
    <w:p w:rsidR="00D62857" w:rsidRDefault="00D62857" w:rsidP="00D62857">
      <w:pPr>
        <w:jc w:val="both"/>
        <w:rPr>
          <w:rFonts w:ascii="Arial" w:hAnsi="Arial" w:cs="Arial"/>
          <w:b/>
          <w:sz w:val="20"/>
          <w:lang w:val="es-ES"/>
        </w:rPr>
      </w:pPr>
    </w:p>
    <w:p w:rsidR="00D62857" w:rsidRDefault="00D62857" w:rsidP="00D62857">
      <w:pPr>
        <w:jc w:val="both"/>
        <w:rPr>
          <w:rFonts w:ascii="Arial" w:hAnsi="Arial" w:cs="Arial"/>
          <w:b/>
          <w:sz w:val="20"/>
          <w:lang w:val="es-ES"/>
        </w:rPr>
      </w:pPr>
    </w:p>
    <w:p w:rsidR="00D62857" w:rsidRDefault="00D62857" w:rsidP="00D62857">
      <w:pPr>
        <w:jc w:val="both"/>
        <w:rPr>
          <w:rFonts w:ascii="Arial" w:hAnsi="Arial" w:cs="Arial"/>
          <w:b/>
          <w:sz w:val="20"/>
          <w:lang w:val="es-ES"/>
        </w:rPr>
      </w:pPr>
    </w:p>
    <w:p w:rsidR="00D62857" w:rsidRDefault="00D62857" w:rsidP="00D62857">
      <w:pPr>
        <w:jc w:val="both"/>
        <w:rPr>
          <w:rFonts w:ascii="Arial" w:hAnsi="Arial" w:cs="Arial"/>
          <w:b/>
          <w:sz w:val="20"/>
          <w:lang w:val="es-ES"/>
        </w:rPr>
      </w:pPr>
    </w:p>
    <w:p w:rsidR="00D62857" w:rsidRDefault="00D62857" w:rsidP="00D62857">
      <w:pPr>
        <w:jc w:val="both"/>
        <w:rPr>
          <w:rFonts w:ascii="Arial" w:hAnsi="Arial" w:cs="Arial"/>
          <w:b/>
          <w:sz w:val="20"/>
          <w:lang w:val="es-ES"/>
        </w:rPr>
      </w:pPr>
    </w:p>
    <w:p w:rsidR="00D62857" w:rsidRDefault="00D62857" w:rsidP="00D62857">
      <w:pPr>
        <w:jc w:val="both"/>
        <w:rPr>
          <w:rFonts w:ascii="Arial" w:hAnsi="Arial" w:cs="Arial"/>
          <w:b/>
          <w:sz w:val="20"/>
          <w:lang w:val="es-ES"/>
        </w:rPr>
      </w:pPr>
    </w:p>
    <w:p w:rsidR="00D62857" w:rsidRDefault="00D62857" w:rsidP="00D62857">
      <w:pPr>
        <w:jc w:val="both"/>
        <w:rPr>
          <w:rFonts w:ascii="Arial" w:hAnsi="Arial" w:cs="Arial"/>
          <w:b/>
          <w:sz w:val="20"/>
          <w:lang w:val="es-ES"/>
        </w:rPr>
      </w:pPr>
    </w:p>
    <w:p w:rsidR="00D62857" w:rsidRDefault="00D62857" w:rsidP="00D62857">
      <w:pPr>
        <w:jc w:val="both"/>
        <w:rPr>
          <w:rFonts w:ascii="Arial" w:hAnsi="Arial" w:cs="Arial"/>
          <w:b/>
          <w:sz w:val="20"/>
          <w:lang w:val="es-ES"/>
        </w:rPr>
      </w:pPr>
    </w:p>
    <w:p w:rsidR="00D62857" w:rsidRDefault="00D62857" w:rsidP="00D62857">
      <w:pPr>
        <w:jc w:val="both"/>
        <w:rPr>
          <w:rFonts w:ascii="Arial" w:hAnsi="Arial" w:cs="Arial"/>
          <w:b/>
          <w:sz w:val="20"/>
          <w:lang w:val="es-ES"/>
        </w:rPr>
      </w:pPr>
    </w:p>
    <w:p w:rsidR="00D62857" w:rsidRDefault="00D62857" w:rsidP="00D62857">
      <w:pPr>
        <w:jc w:val="both"/>
        <w:rPr>
          <w:rFonts w:ascii="Arial" w:hAnsi="Arial" w:cs="Arial"/>
          <w:b/>
          <w:sz w:val="20"/>
          <w:lang w:val="es-ES"/>
        </w:rPr>
      </w:pPr>
    </w:p>
    <w:p w:rsidR="00D62857" w:rsidRDefault="00D62857" w:rsidP="00D62857">
      <w:pPr>
        <w:jc w:val="both"/>
        <w:rPr>
          <w:rFonts w:ascii="Arial" w:hAnsi="Arial" w:cs="Arial"/>
          <w:b/>
          <w:sz w:val="20"/>
          <w:lang w:val="es-ES"/>
        </w:rPr>
      </w:pPr>
    </w:p>
    <w:p w:rsidR="00D62857" w:rsidRDefault="00D62857" w:rsidP="00D62857">
      <w:pPr>
        <w:jc w:val="both"/>
        <w:rPr>
          <w:rFonts w:ascii="Arial" w:hAnsi="Arial" w:cs="Arial"/>
          <w:b/>
          <w:sz w:val="20"/>
          <w:lang w:val="es-ES"/>
        </w:rPr>
      </w:pPr>
    </w:p>
    <w:p w:rsidR="00D62857" w:rsidRPr="001A7AE7" w:rsidRDefault="00D62857" w:rsidP="00D62857">
      <w:pPr>
        <w:jc w:val="both"/>
        <w:rPr>
          <w:rFonts w:ascii="Arial" w:hAnsi="Arial" w:cs="Arial"/>
          <w:b/>
          <w:sz w:val="20"/>
          <w:lang w:val="es-ES"/>
        </w:rPr>
      </w:pPr>
      <w:r w:rsidRPr="001A7AE7">
        <w:rPr>
          <w:rFonts w:ascii="Arial" w:hAnsi="Arial" w:cs="Arial"/>
          <w:b/>
          <w:sz w:val="20"/>
          <w:lang w:val="es-ES"/>
        </w:rPr>
        <w:t>Gráfico Nº</w:t>
      </w:r>
      <w:r>
        <w:rPr>
          <w:rFonts w:ascii="Arial" w:hAnsi="Arial" w:cs="Arial"/>
          <w:b/>
          <w:sz w:val="20"/>
          <w:lang w:val="es-ES"/>
        </w:rPr>
        <w:t xml:space="preserve">2. </w:t>
      </w:r>
      <w:r w:rsidRPr="00B716F3">
        <w:rPr>
          <w:rFonts w:ascii="Arial" w:hAnsi="Arial" w:cs="Arial"/>
          <w:sz w:val="20"/>
          <w:lang w:val="es-ES"/>
        </w:rPr>
        <w:t>Serie de indigencia (2007-2019). Estimación propia IPyPP 2007-2015 + Metodología INDEC (2016).</w:t>
      </w:r>
      <w:r w:rsidRPr="001A7AE7">
        <w:rPr>
          <w:rFonts w:ascii="Arial" w:hAnsi="Arial" w:cs="Arial"/>
          <w:b/>
          <w:sz w:val="20"/>
          <w:lang w:val="es-ES"/>
        </w:rPr>
        <w:t xml:space="preserve"> </w:t>
      </w:r>
    </w:p>
    <w:p w:rsidR="00D62857" w:rsidRPr="001A7AE7" w:rsidRDefault="00D62857" w:rsidP="00D62857">
      <w:pPr>
        <w:jc w:val="both"/>
        <w:rPr>
          <w:rFonts w:ascii="Arial" w:hAnsi="Arial" w:cs="Arial"/>
          <w:sz w:val="20"/>
          <w:lang w:val="es-ES"/>
        </w:rPr>
      </w:pPr>
      <w:r w:rsidRPr="001A7AE7">
        <w:rPr>
          <w:noProof/>
          <w:lang w:eastAsia="es-AR"/>
        </w:rPr>
        <w:drawing>
          <wp:inline distT="0" distB="0" distL="0" distR="0">
            <wp:extent cx="5398770" cy="1852930"/>
            <wp:effectExtent l="19050" t="0" r="0" b="0"/>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398770" cy="1852930"/>
                    </a:xfrm>
                    <a:prstGeom prst="rect">
                      <a:avLst/>
                    </a:prstGeom>
                    <a:noFill/>
                    <a:ln w="9525">
                      <a:noFill/>
                      <a:miter lim="800000"/>
                      <a:headEnd/>
                      <a:tailEnd/>
                    </a:ln>
                  </pic:spPr>
                </pic:pic>
              </a:graphicData>
            </a:graphic>
          </wp:inline>
        </w:drawing>
      </w:r>
      <w:r w:rsidRPr="001A7AE7">
        <w:rPr>
          <w:rFonts w:ascii="Arial" w:hAnsi="Arial" w:cs="Arial"/>
          <w:b/>
          <w:sz w:val="20"/>
          <w:lang w:val="es-ES"/>
        </w:rPr>
        <w:t>Fuente</w:t>
      </w:r>
      <w:r w:rsidRPr="001A7AE7">
        <w:rPr>
          <w:rFonts w:ascii="Arial" w:hAnsi="Arial" w:cs="Arial"/>
          <w:sz w:val="20"/>
          <w:lang w:val="es-ES"/>
        </w:rPr>
        <w:t>: elaboración propia en base a datos de EPH-INDEC.</w:t>
      </w:r>
    </w:p>
    <w:p w:rsidR="00D62857" w:rsidRDefault="00D62857" w:rsidP="00D62857">
      <w:pPr>
        <w:rPr>
          <w:lang w:val="es-ES"/>
        </w:rPr>
      </w:pPr>
    </w:p>
    <w:p w:rsidR="00A674D6" w:rsidRDefault="00A674D6" w:rsidP="00050862">
      <w:pPr>
        <w:jc w:val="both"/>
        <w:rPr>
          <w:lang w:val="es-ES"/>
        </w:rPr>
      </w:pPr>
    </w:p>
    <w:p w:rsidR="00A674D6" w:rsidRPr="00A674D6" w:rsidRDefault="00A674D6" w:rsidP="00A674D6">
      <w:pPr>
        <w:rPr>
          <w:lang w:val="es-ES"/>
        </w:rPr>
      </w:pPr>
    </w:p>
    <w:sectPr w:rsidR="00A674D6" w:rsidRPr="00A674D6" w:rsidSect="00320DFD">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3538" w:rsidRDefault="002F3538" w:rsidP="00296A48">
      <w:r>
        <w:separator/>
      </w:r>
    </w:p>
  </w:endnote>
  <w:endnote w:type="continuationSeparator" w:id="0">
    <w:p w:rsidR="002F3538" w:rsidRDefault="002F3538" w:rsidP="00296A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atha">
    <w:altName w:val="Arial"/>
    <w:panose1 w:val="020B0604020202020204"/>
    <w:charset w:val="01"/>
    <w:family w:val="roman"/>
    <w:notTrueType/>
    <w:pitch w:val="variable"/>
    <w:sig w:usb0="0004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3538" w:rsidRDefault="002F3538" w:rsidP="00296A48">
      <w:r>
        <w:separator/>
      </w:r>
    </w:p>
  </w:footnote>
  <w:footnote w:type="continuationSeparator" w:id="0">
    <w:p w:rsidR="002F3538" w:rsidRDefault="002F3538" w:rsidP="00296A48">
      <w:r>
        <w:continuationSeparator/>
      </w:r>
    </w:p>
  </w:footnote>
  <w:footnote w:id="1">
    <w:p w:rsidR="00296A48" w:rsidRPr="00296A48" w:rsidRDefault="00296A48">
      <w:pPr>
        <w:pStyle w:val="Textonotapie"/>
        <w:rPr>
          <w:lang w:val="es-ES"/>
        </w:rPr>
      </w:pPr>
      <w:r>
        <w:rPr>
          <w:rStyle w:val="Refdenotaalpie"/>
        </w:rPr>
        <w:footnoteRef/>
      </w:r>
      <w:r>
        <w:t xml:space="preserve"> </w:t>
      </w:r>
      <w:r>
        <w:rPr>
          <w:lang w:val="es-ES"/>
        </w:rPr>
        <w:t>De</w:t>
      </w:r>
      <w:r w:rsidR="00D81D7E">
        <w:rPr>
          <w:lang w:val="es-ES"/>
        </w:rPr>
        <w:t>l</w:t>
      </w:r>
      <w:r>
        <w:rPr>
          <w:lang w:val="es-ES"/>
        </w:rPr>
        <w:t xml:space="preserve"> 26,3%</w:t>
      </w:r>
      <w:r w:rsidR="00D81D7E">
        <w:rPr>
          <w:lang w:val="es-ES"/>
        </w:rPr>
        <w:t xml:space="preserve"> al 4to trimestre 2017</w:t>
      </w:r>
      <w:r>
        <w:rPr>
          <w:lang w:val="es-ES"/>
        </w:rPr>
        <w:t xml:space="preserve"> al 35,5%</w:t>
      </w:r>
      <w:r w:rsidR="00D81D7E">
        <w:rPr>
          <w:lang w:val="es-ES"/>
        </w:rPr>
        <w:t xml:space="preserve"> al 4to trimestre 2018.</w:t>
      </w:r>
    </w:p>
  </w:footnote>
  <w:footnote w:id="2">
    <w:p w:rsidR="00A81C44" w:rsidRPr="00A81C44" w:rsidRDefault="00A81C44" w:rsidP="00D2463E">
      <w:pPr>
        <w:pStyle w:val="Textonotapie"/>
        <w:jc w:val="both"/>
        <w:rPr>
          <w:lang w:val="es-ES"/>
        </w:rPr>
      </w:pPr>
      <w:r>
        <w:rPr>
          <w:rStyle w:val="Refdenotaalpie"/>
        </w:rPr>
        <w:footnoteRef/>
      </w:r>
      <w:r>
        <w:t xml:space="preserve"> </w:t>
      </w:r>
      <w:r>
        <w:rPr>
          <w:lang w:val="es-ES"/>
        </w:rPr>
        <w:t xml:space="preserve">De $1.500 </w:t>
      </w:r>
      <w:r w:rsidR="00A55BBE">
        <w:rPr>
          <w:lang w:val="es-ES"/>
        </w:rPr>
        <w:t>p</w:t>
      </w:r>
      <w:r>
        <w:rPr>
          <w:lang w:val="es-ES"/>
        </w:rPr>
        <w:t>a</w:t>
      </w:r>
      <w:r w:rsidR="00A55BBE">
        <w:rPr>
          <w:lang w:val="es-ES"/>
        </w:rPr>
        <w:t>ra</w:t>
      </w:r>
      <w:r>
        <w:rPr>
          <w:lang w:val="es-ES"/>
        </w:rPr>
        <w:t xml:space="preserve"> la AUH</w:t>
      </w:r>
      <w:r w:rsidR="00E724C0">
        <w:rPr>
          <w:lang w:val="es-ES"/>
        </w:rPr>
        <w:t xml:space="preserve"> y AUE</w:t>
      </w:r>
      <w:r w:rsidR="00CD24A6">
        <w:rPr>
          <w:lang w:val="es-ES"/>
        </w:rPr>
        <w:t>, $3.000 a planes sociales, $5.000 para los trabajadores estatales nacionales, fuerzas de seguridad nacional y FFAA, de $1.250 a $5.000 a docentes y no docentes universitarios y</w:t>
      </w:r>
      <w:r>
        <w:rPr>
          <w:lang w:val="es-ES"/>
        </w:rPr>
        <w:t xml:space="preserve"> de $5.000</w:t>
      </w:r>
      <w:r w:rsidR="00A55BBE">
        <w:rPr>
          <w:lang w:val="es-ES"/>
        </w:rPr>
        <w:t xml:space="preserve"> (en dos tramos)</w:t>
      </w:r>
      <w:r>
        <w:rPr>
          <w:lang w:val="es-ES"/>
        </w:rPr>
        <w:t xml:space="preserve"> a los trabajadores del sector privado.</w:t>
      </w:r>
    </w:p>
  </w:footnote>
  <w:footnote w:id="3">
    <w:p w:rsidR="00434162" w:rsidRPr="00434162" w:rsidRDefault="00434162" w:rsidP="00434162">
      <w:pPr>
        <w:pStyle w:val="Textonotapie"/>
      </w:pPr>
      <w:r>
        <w:rPr>
          <w:rStyle w:val="Refdenotaalpie"/>
        </w:rPr>
        <w:footnoteRef/>
      </w:r>
      <w:r>
        <w:t xml:space="preserve">  Indec, “Actualización de la metodología oficial de cálculo de las Líneas de Pobreza” presentado en el “Taller regional de medición de la pobreza”, Buenos Aires, noviembre de 2003.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453D9B"/>
    <w:multiLevelType w:val="hybridMultilevel"/>
    <w:tmpl w:val="1DD6EF20"/>
    <w:lvl w:ilvl="0" w:tplc="5A0259EC">
      <w:start w:val="8"/>
      <w:numFmt w:val="bullet"/>
      <w:lvlText w:val="-"/>
      <w:lvlJc w:val="left"/>
      <w:pPr>
        <w:ind w:left="420" w:hanging="360"/>
      </w:pPr>
      <w:rPr>
        <w:rFonts w:ascii="Times New Roman" w:eastAsia="Times New Roman" w:hAnsi="Times New Roman" w:cs="Times New Roman"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1"/>
  <w:displayBackgroundShape/>
  <w:proofState w:spelling="clean" w:grammar="clean"/>
  <w:defaultTabStop w:val="708"/>
  <w:hyphenationZone w:val="425"/>
  <w:characterSpacingControl w:val="doNotCompress"/>
  <w:savePreviewPicture/>
  <w:footnotePr>
    <w:footnote w:id="-1"/>
    <w:footnote w:id="0"/>
  </w:footnotePr>
  <w:endnotePr>
    <w:endnote w:id="-1"/>
    <w:endnote w:id="0"/>
  </w:endnotePr>
  <w:compat/>
  <w:rsids>
    <w:rsidRoot w:val="00050862"/>
    <w:rsid w:val="00050862"/>
    <w:rsid w:val="00055575"/>
    <w:rsid w:val="000556A6"/>
    <w:rsid w:val="00086FFB"/>
    <w:rsid w:val="00087CA1"/>
    <w:rsid w:val="000A2A71"/>
    <w:rsid w:val="000E7F79"/>
    <w:rsid w:val="00101E34"/>
    <w:rsid w:val="00102B93"/>
    <w:rsid w:val="00144A43"/>
    <w:rsid w:val="00160350"/>
    <w:rsid w:val="001623AB"/>
    <w:rsid w:val="00165505"/>
    <w:rsid w:val="00166AAF"/>
    <w:rsid w:val="001A7AE7"/>
    <w:rsid w:val="001B04A7"/>
    <w:rsid w:val="001B60DA"/>
    <w:rsid w:val="001C3E52"/>
    <w:rsid w:val="001C75C0"/>
    <w:rsid w:val="001C794B"/>
    <w:rsid w:val="002276ED"/>
    <w:rsid w:val="0023242C"/>
    <w:rsid w:val="0025134D"/>
    <w:rsid w:val="00251ECF"/>
    <w:rsid w:val="00294BE2"/>
    <w:rsid w:val="00296A48"/>
    <w:rsid w:val="002F2725"/>
    <w:rsid w:val="002F3538"/>
    <w:rsid w:val="00303BC5"/>
    <w:rsid w:val="0030581A"/>
    <w:rsid w:val="00320DFD"/>
    <w:rsid w:val="00325812"/>
    <w:rsid w:val="00365205"/>
    <w:rsid w:val="00386510"/>
    <w:rsid w:val="003922F8"/>
    <w:rsid w:val="00397CA3"/>
    <w:rsid w:val="003A7C03"/>
    <w:rsid w:val="003B1ED5"/>
    <w:rsid w:val="003B2926"/>
    <w:rsid w:val="003B5629"/>
    <w:rsid w:val="003C077D"/>
    <w:rsid w:val="003C3C71"/>
    <w:rsid w:val="003C5325"/>
    <w:rsid w:val="003F413D"/>
    <w:rsid w:val="004030ED"/>
    <w:rsid w:val="00414BC6"/>
    <w:rsid w:val="004218EF"/>
    <w:rsid w:val="00434162"/>
    <w:rsid w:val="004344AA"/>
    <w:rsid w:val="00462ADC"/>
    <w:rsid w:val="00463ACE"/>
    <w:rsid w:val="004704D1"/>
    <w:rsid w:val="00481F4D"/>
    <w:rsid w:val="00486AC3"/>
    <w:rsid w:val="00492AE9"/>
    <w:rsid w:val="004A18A3"/>
    <w:rsid w:val="004C5EC9"/>
    <w:rsid w:val="00501415"/>
    <w:rsid w:val="00573103"/>
    <w:rsid w:val="00586540"/>
    <w:rsid w:val="005912CE"/>
    <w:rsid w:val="005A4535"/>
    <w:rsid w:val="005B4169"/>
    <w:rsid w:val="005C7AC9"/>
    <w:rsid w:val="005F106E"/>
    <w:rsid w:val="005F4603"/>
    <w:rsid w:val="00604CD8"/>
    <w:rsid w:val="00630F69"/>
    <w:rsid w:val="00635360"/>
    <w:rsid w:val="006B20AD"/>
    <w:rsid w:val="006B3399"/>
    <w:rsid w:val="006B729F"/>
    <w:rsid w:val="006C47F4"/>
    <w:rsid w:val="00717C1E"/>
    <w:rsid w:val="007205D5"/>
    <w:rsid w:val="00747FE4"/>
    <w:rsid w:val="0077632E"/>
    <w:rsid w:val="007879DC"/>
    <w:rsid w:val="007A4E1C"/>
    <w:rsid w:val="007D7EA3"/>
    <w:rsid w:val="007E4F3B"/>
    <w:rsid w:val="007F0078"/>
    <w:rsid w:val="00806244"/>
    <w:rsid w:val="008162F0"/>
    <w:rsid w:val="008169F7"/>
    <w:rsid w:val="008249B7"/>
    <w:rsid w:val="008671FF"/>
    <w:rsid w:val="00875B95"/>
    <w:rsid w:val="008763EF"/>
    <w:rsid w:val="00876472"/>
    <w:rsid w:val="00883CD0"/>
    <w:rsid w:val="00892393"/>
    <w:rsid w:val="008A61E2"/>
    <w:rsid w:val="009164CF"/>
    <w:rsid w:val="00917067"/>
    <w:rsid w:val="00945FEF"/>
    <w:rsid w:val="009A4181"/>
    <w:rsid w:val="009D23E5"/>
    <w:rsid w:val="009E3B2C"/>
    <w:rsid w:val="009F6A5C"/>
    <w:rsid w:val="00A1178F"/>
    <w:rsid w:val="00A20021"/>
    <w:rsid w:val="00A36531"/>
    <w:rsid w:val="00A40565"/>
    <w:rsid w:val="00A43FA4"/>
    <w:rsid w:val="00A55BBE"/>
    <w:rsid w:val="00A64D24"/>
    <w:rsid w:val="00A674D6"/>
    <w:rsid w:val="00A81C44"/>
    <w:rsid w:val="00A830B4"/>
    <w:rsid w:val="00A83E8E"/>
    <w:rsid w:val="00A948AC"/>
    <w:rsid w:val="00AB231D"/>
    <w:rsid w:val="00AB58C0"/>
    <w:rsid w:val="00AC1BC9"/>
    <w:rsid w:val="00AD10F8"/>
    <w:rsid w:val="00AF115B"/>
    <w:rsid w:val="00B04138"/>
    <w:rsid w:val="00B26964"/>
    <w:rsid w:val="00B401E5"/>
    <w:rsid w:val="00B716F3"/>
    <w:rsid w:val="00B7300E"/>
    <w:rsid w:val="00BD3251"/>
    <w:rsid w:val="00BD3892"/>
    <w:rsid w:val="00BE5F20"/>
    <w:rsid w:val="00BF3442"/>
    <w:rsid w:val="00C06B19"/>
    <w:rsid w:val="00C17DE5"/>
    <w:rsid w:val="00C33D6E"/>
    <w:rsid w:val="00C4639C"/>
    <w:rsid w:val="00C606C5"/>
    <w:rsid w:val="00C85DE9"/>
    <w:rsid w:val="00C960F5"/>
    <w:rsid w:val="00CC0983"/>
    <w:rsid w:val="00CD24A6"/>
    <w:rsid w:val="00CD4E33"/>
    <w:rsid w:val="00CE4E76"/>
    <w:rsid w:val="00D2207E"/>
    <w:rsid w:val="00D2463E"/>
    <w:rsid w:val="00D303F9"/>
    <w:rsid w:val="00D55503"/>
    <w:rsid w:val="00D62857"/>
    <w:rsid w:val="00D6677D"/>
    <w:rsid w:val="00D7644B"/>
    <w:rsid w:val="00D81D7E"/>
    <w:rsid w:val="00DB6CD0"/>
    <w:rsid w:val="00DC562A"/>
    <w:rsid w:val="00DF5630"/>
    <w:rsid w:val="00E27504"/>
    <w:rsid w:val="00E44436"/>
    <w:rsid w:val="00E50F97"/>
    <w:rsid w:val="00E633B9"/>
    <w:rsid w:val="00E724C0"/>
    <w:rsid w:val="00E800F5"/>
    <w:rsid w:val="00EA6D82"/>
    <w:rsid w:val="00EC546C"/>
    <w:rsid w:val="00ED0279"/>
    <w:rsid w:val="00EE3E42"/>
    <w:rsid w:val="00F83ADE"/>
    <w:rsid w:val="00F87B0B"/>
    <w:rsid w:val="00FA05F3"/>
    <w:rsid w:val="00FE224E"/>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5F20"/>
    <w:pPr>
      <w:spacing w:after="0" w:line="240" w:lineRule="auto"/>
    </w:pPr>
    <w:rPr>
      <w:rFonts w:ascii="Times New Roman" w:eastAsia="Times New Roman" w:hAnsi="Times New Roman" w:cs="Times New Roman"/>
      <w:sz w:val="24"/>
      <w:szCs w:val="24"/>
      <w:lang w:val="es-AR"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50862"/>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050862"/>
    <w:rPr>
      <w:rFonts w:ascii="Tahoma" w:hAnsi="Tahoma" w:cs="Tahoma"/>
      <w:sz w:val="16"/>
      <w:szCs w:val="16"/>
      <w:lang w:val="es-AR"/>
    </w:rPr>
  </w:style>
  <w:style w:type="paragraph" w:styleId="Textonotapie">
    <w:name w:val="footnote text"/>
    <w:basedOn w:val="Normal"/>
    <w:link w:val="TextonotapieCar"/>
    <w:uiPriority w:val="99"/>
    <w:semiHidden/>
    <w:unhideWhenUsed/>
    <w:rsid w:val="00296A48"/>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296A48"/>
    <w:rPr>
      <w:sz w:val="20"/>
      <w:szCs w:val="20"/>
      <w:lang w:val="es-AR"/>
    </w:rPr>
  </w:style>
  <w:style w:type="character" w:styleId="Refdenotaalpie">
    <w:name w:val="footnote reference"/>
    <w:basedOn w:val="Fuentedeprrafopredeter"/>
    <w:uiPriority w:val="99"/>
    <w:semiHidden/>
    <w:unhideWhenUsed/>
    <w:rsid w:val="00296A48"/>
    <w:rPr>
      <w:vertAlign w:val="superscript"/>
    </w:rPr>
  </w:style>
  <w:style w:type="paragraph" w:styleId="Prrafodelista">
    <w:name w:val="List Paragraph"/>
    <w:basedOn w:val="Normal"/>
    <w:uiPriority w:val="34"/>
    <w:qFormat/>
    <w:rsid w:val="00325812"/>
    <w:pPr>
      <w:ind w:left="720"/>
      <w:contextualSpacing/>
    </w:pPr>
  </w:style>
  <w:style w:type="paragraph" w:styleId="Textoindependiente">
    <w:name w:val="Body Text"/>
    <w:basedOn w:val="Normal"/>
    <w:link w:val="TextoindependienteCar"/>
    <w:uiPriority w:val="1"/>
    <w:qFormat/>
    <w:rsid w:val="003B1ED5"/>
    <w:pPr>
      <w:widowControl w:val="0"/>
      <w:autoSpaceDE w:val="0"/>
      <w:autoSpaceDN w:val="0"/>
    </w:pPr>
    <w:rPr>
      <w:lang w:val="es-ES" w:eastAsia="es-ES" w:bidi="es-ES"/>
    </w:rPr>
  </w:style>
  <w:style w:type="character" w:customStyle="1" w:styleId="TextoindependienteCar">
    <w:name w:val="Texto independiente Car"/>
    <w:basedOn w:val="Fuentedeprrafopredeter"/>
    <w:link w:val="Textoindependiente"/>
    <w:uiPriority w:val="1"/>
    <w:rsid w:val="003B1ED5"/>
    <w:rPr>
      <w:rFonts w:ascii="Times New Roman" w:eastAsia="Times New Roman" w:hAnsi="Times New Roman" w:cs="Times New Roman"/>
      <w:sz w:val="24"/>
      <w:szCs w:val="24"/>
      <w:lang w:eastAsia="es-ES" w:bidi="es-ES"/>
    </w:rPr>
  </w:style>
  <w:style w:type="paragraph" w:customStyle="1" w:styleId="Ttulo11">
    <w:name w:val="Título 11"/>
    <w:basedOn w:val="Normal"/>
    <w:uiPriority w:val="1"/>
    <w:qFormat/>
    <w:rsid w:val="003B1ED5"/>
    <w:pPr>
      <w:widowControl w:val="0"/>
      <w:autoSpaceDE w:val="0"/>
      <w:autoSpaceDN w:val="0"/>
      <w:ind w:left="170" w:right="162"/>
      <w:jc w:val="center"/>
      <w:outlineLvl w:val="1"/>
    </w:pPr>
    <w:rPr>
      <w:b/>
      <w:bCs/>
      <w:sz w:val="28"/>
      <w:szCs w:val="28"/>
      <w:lang w:val="es-ES" w:eastAsia="es-ES" w:bidi="es-ES"/>
    </w:rPr>
  </w:style>
</w:styles>
</file>

<file path=word/webSettings.xml><?xml version="1.0" encoding="utf-8"?>
<w:webSettings xmlns:r="http://schemas.openxmlformats.org/officeDocument/2006/relationships" xmlns:w="http://schemas.openxmlformats.org/wordprocessingml/2006/main">
  <w:divs>
    <w:div w:id="11340952">
      <w:bodyDiv w:val="1"/>
      <w:marLeft w:val="0"/>
      <w:marRight w:val="0"/>
      <w:marTop w:val="0"/>
      <w:marBottom w:val="0"/>
      <w:divBdr>
        <w:top w:val="none" w:sz="0" w:space="0" w:color="auto"/>
        <w:left w:val="none" w:sz="0" w:space="0" w:color="auto"/>
        <w:bottom w:val="none" w:sz="0" w:space="0" w:color="auto"/>
        <w:right w:val="none" w:sz="0" w:space="0" w:color="auto"/>
      </w:divBdr>
    </w:div>
    <w:div w:id="387147550">
      <w:bodyDiv w:val="1"/>
      <w:marLeft w:val="0"/>
      <w:marRight w:val="0"/>
      <w:marTop w:val="0"/>
      <w:marBottom w:val="0"/>
      <w:divBdr>
        <w:top w:val="none" w:sz="0" w:space="0" w:color="auto"/>
        <w:left w:val="none" w:sz="0" w:space="0" w:color="auto"/>
        <w:bottom w:val="none" w:sz="0" w:space="0" w:color="auto"/>
        <w:right w:val="none" w:sz="0" w:space="0" w:color="auto"/>
      </w:divBdr>
    </w:div>
    <w:div w:id="622998159">
      <w:bodyDiv w:val="1"/>
      <w:marLeft w:val="0"/>
      <w:marRight w:val="0"/>
      <w:marTop w:val="0"/>
      <w:marBottom w:val="0"/>
      <w:divBdr>
        <w:top w:val="none" w:sz="0" w:space="0" w:color="auto"/>
        <w:left w:val="none" w:sz="0" w:space="0" w:color="auto"/>
        <w:bottom w:val="none" w:sz="0" w:space="0" w:color="auto"/>
        <w:right w:val="none" w:sz="0" w:space="0" w:color="auto"/>
      </w:divBdr>
    </w:div>
    <w:div w:id="677001910">
      <w:bodyDiv w:val="1"/>
      <w:marLeft w:val="0"/>
      <w:marRight w:val="0"/>
      <w:marTop w:val="0"/>
      <w:marBottom w:val="0"/>
      <w:divBdr>
        <w:top w:val="none" w:sz="0" w:space="0" w:color="auto"/>
        <w:left w:val="none" w:sz="0" w:space="0" w:color="auto"/>
        <w:bottom w:val="none" w:sz="0" w:space="0" w:color="auto"/>
        <w:right w:val="none" w:sz="0" w:space="0" w:color="auto"/>
      </w:divBdr>
    </w:div>
    <w:div w:id="1117062601">
      <w:bodyDiv w:val="1"/>
      <w:marLeft w:val="0"/>
      <w:marRight w:val="0"/>
      <w:marTop w:val="0"/>
      <w:marBottom w:val="0"/>
      <w:divBdr>
        <w:top w:val="none" w:sz="0" w:space="0" w:color="auto"/>
        <w:left w:val="none" w:sz="0" w:space="0" w:color="auto"/>
        <w:bottom w:val="none" w:sz="0" w:space="0" w:color="auto"/>
        <w:right w:val="none" w:sz="0" w:space="0" w:color="auto"/>
      </w:divBdr>
    </w:div>
    <w:div w:id="1136877453">
      <w:bodyDiv w:val="1"/>
      <w:marLeft w:val="0"/>
      <w:marRight w:val="0"/>
      <w:marTop w:val="0"/>
      <w:marBottom w:val="0"/>
      <w:divBdr>
        <w:top w:val="none" w:sz="0" w:space="0" w:color="auto"/>
        <w:left w:val="none" w:sz="0" w:space="0" w:color="auto"/>
        <w:bottom w:val="none" w:sz="0" w:space="0" w:color="auto"/>
        <w:right w:val="none" w:sz="0" w:space="0" w:color="auto"/>
      </w:divBdr>
    </w:div>
    <w:div w:id="1141650334">
      <w:bodyDiv w:val="1"/>
      <w:marLeft w:val="0"/>
      <w:marRight w:val="0"/>
      <w:marTop w:val="0"/>
      <w:marBottom w:val="0"/>
      <w:divBdr>
        <w:top w:val="none" w:sz="0" w:space="0" w:color="auto"/>
        <w:left w:val="none" w:sz="0" w:space="0" w:color="auto"/>
        <w:bottom w:val="none" w:sz="0" w:space="0" w:color="auto"/>
        <w:right w:val="none" w:sz="0" w:space="0" w:color="auto"/>
      </w:divBdr>
    </w:div>
    <w:div w:id="1325859067">
      <w:bodyDiv w:val="1"/>
      <w:marLeft w:val="0"/>
      <w:marRight w:val="0"/>
      <w:marTop w:val="0"/>
      <w:marBottom w:val="0"/>
      <w:divBdr>
        <w:top w:val="none" w:sz="0" w:space="0" w:color="auto"/>
        <w:left w:val="none" w:sz="0" w:space="0" w:color="auto"/>
        <w:bottom w:val="none" w:sz="0" w:space="0" w:color="auto"/>
        <w:right w:val="none" w:sz="0" w:space="0" w:color="auto"/>
      </w:divBdr>
    </w:div>
    <w:div w:id="1513688258">
      <w:bodyDiv w:val="1"/>
      <w:marLeft w:val="0"/>
      <w:marRight w:val="0"/>
      <w:marTop w:val="0"/>
      <w:marBottom w:val="0"/>
      <w:divBdr>
        <w:top w:val="none" w:sz="0" w:space="0" w:color="auto"/>
        <w:left w:val="none" w:sz="0" w:space="0" w:color="auto"/>
        <w:bottom w:val="none" w:sz="0" w:space="0" w:color="auto"/>
        <w:right w:val="none" w:sz="0" w:space="0" w:color="auto"/>
      </w:divBdr>
    </w:div>
    <w:div w:id="1609435485">
      <w:bodyDiv w:val="1"/>
      <w:marLeft w:val="0"/>
      <w:marRight w:val="0"/>
      <w:marTop w:val="0"/>
      <w:marBottom w:val="0"/>
      <w:divBdr>
        <w:top w:val="none" w:sz="0" w:space="0" w:color="auto"/>
        <w:left w:val="none" w:sz="0" w:space="0" w:color="auto"/>
        <w:bottom w:val="none" w:sz="0" w:space="0" w:color="auto"/>
        <w:right w:val="none" w:sz="0" w:space="0" w:color="auto"/>
      </w:divBdr>
    </w:div>
    <w:div w:id="1740440774">
      <w:bodyDiv w:val="1"/>
      <w:marLeft w:val="0"/>
      <w:marRight w:val="0"/>
      <w:marTop w:val="0"/>
      <w:marBottom w:val="0"/>
      <w:divBdr>
        <w:top w:val="none" w:sz="0" w:space="0" w:color="auto"/>
        <w:left w:val="none" w:sz="0" w:space="0" w:color="auto"/>
        <w:bottom w:val="none" w:sz="0" w:space="0" w:color="auto"/>
        <w:right w:val="none" w:sz="0" w:space="0" w:color="auto"/>
      </w:divBdr>
    </w:div>
    <w:div w:id="2036887099">
      <w:bodyDiv w:val="1"/>
      <w:marLeft w:val="0"/>
      <w:marRight w:val="0"/>
      <w:marTop w:val="0"/>
      <w:marBottom w:val="0"/>
      <w:divBdr>
        <w:top w:val="none" w:sz="0" w:space="0" w:color="auto"/>
        <w:left w:val="none" w:sz="0" w:space="0" w:color="auto"/>
        <w:bottom w:val="none" w:sz="0" w:space="0" w:color="auto"/>
        <w:right w:val="none" w:sz="0" w:space="0" w:color="auto"/>
      </w:divBdr>
    </w:div>
    <w:div w:id="2064788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204074-C304-4970-BAE8-892BBA6BC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2606</Words>
  <Characters>14339</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Usuario2</dc:creator>
  <cp:lastModifiedBy>FlavioG</cp:lastModifiedBy>
  <cp:revision>2</cp:revision>
  <dcterms:created xsi:type="dcterms:W3CDTF">2019-08-02T20:42:00Z</dcterms:created>
  <dcterms:modified xsi:type="dcterms:W3CDTF">2019-08-02T20:42:00Z</dcterms:modified>
</cp:coreProperties>
</file>