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19" w:rsidRDefault="00AF7D19" w:rsidP="00AF7D19">
      <w:pPr>
        <w:jc w:val="right"/>
        <w:rPr>
          <w:sz w:val="28"/>
          <w:szCs w:val="28"/>
        </w:rPr>
      </w:pPr>
      <w:bookmarkStart w:id="0" w:name="_GoBack"/>
      <w:bookmarkEnd w:id="0"/>
      <w:r>
        <w:rPr>
          <w:noProof/>
          <w:sz w:val="28"/>
          <w:szCs w:val="28"/>
          <w:u w:val="single"/>
          <w:lang w:val="es-AR" w:eastAsia="es-AR"/>
        </w:rPr>
        <w:drawing>
          <wp:inline distT="0" distB="0" distL="0" distR="0">
            <wp:extent cx="5609590" cy="2585085"/>
            <wp:effectExtent l="19050" t="0" r="0" b="0"/>
            <wp:docPr id="1" name="Imagen 1"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pic:cNvPicPr>
                      <a:picLocks noChangeAspect="1" noChangeArrowheads="1"/>
                    </pic:cNvPicPr>
                  </pic:nvPicPr>
                  <pic:blipFill>
                    <a:blip r:embed="rId8"/>
                    <a:srcRect/>
                    <a:stretch>
                      <a:fillRect/>
                    </a:stretch>
                  </pic:blipFill>
                  <pic:spPr bwMode="auto">
                    <a:xfrm>
                      <a:off x="0" y="0"/>
                      <a:ext cx="5609590" cy="2585085"/>
                    </a:xfrm>
                    <a:prstGeom prst="rect">
                      <a:avLst/>
                    </a:prstGeom>
                    <a:noFill/>
                    <a:ln w="9525">
                      <a:noFill/>
                      <a:miter lim="800000"/>
                      <a:headEnd/>
                      <a:tailEnd/>
                    </a:ln>
                  </pic:spPr>
                </pic:pic>
              </a:graphicData>
            </a:graphic>
          </wp:inline>
        </w:drawing>
      </w:r>
    </w:p>
    <w:p w:rsidR="00AF7D19" w:rsidRDefault="00AF7D19" w:rsidP="00AF7D19">
      <w:pPr>
        <w:rPr>
          <w:sz w:val="28"/>
          <w:szCs w:val="28"/>
          <w:u w:val="single"/>
        </w:rPr>
      </w:pPr>
    </w:p>
    <w:p w:rsidR="00AF7D19" w:rsidRDefault="00AF7D19" w:rsidP="00AF7D19">
      <w:pPr>
        <w:rPr>
          <w:sz w:val="28"/>
          <w:szCs w:val="28"/>
          <w:u w:val="single"/>
        </w:rPr>
      </w:pPr>
    </w:p>
    <w:p w:rsidR="009D50A7" w:rsidRDefault="00AA53CD" w:rsidP="00A85070">
      <w:pPr>
        <w:pBdr>
          <w:top w:val="single" w:sz="4" w:space="1" w:color="auto"/>
          <w:left w:val="single" w:sz="4" w:space="4" w:color="auto"/>
          <w:bottom w:val="single" w:sz="4" w:space="1" w:color="auto"/>
          <w:right w:val="single" w:sz="4" w:space="4" w:color="auto"/>
        </w:pBdr>
        <w:tabs>
          <w:tab w:val="left" w:pos="4962"/>
        </w:tabs>
        <w:spacing w:line="360" w:lineRule="auto"/>
        <w:jc w:val="center"/>
        <w:rPr>
          <w:rFonts w:ascii="Arial" w:hAnsi="Arial" w:cs="Arial"/>
          <w:b/>
          <w:color w:val="222222"/>
          <w:sz w:val="32"/>
          <w:szCs w:val="32"/>
          <w:shd w:val="clear" w:color="auto" w:fill="FFFFFF"/>
        </w:rPr>
      </w:pPr>
      <w:r>
        <w:rPr>
          <w:rFonts w:ascii="Arial" w:hAnsi="Arial" w:cs="Arial"/>
          <w:b/>
          <w:color w:val="222222"/>
          <w:sz w:val="32"/>
          <w:szCs w:val="32"/>
          <w:shd w:val="clear" w:color="auto" w:fill="FFFFFF"/>
        </w:rPr>
        <w:t>Radiografía de la p</w:t>
      </w:r>
      <w:r w:rsidR="00AF7D19">
        <w:rPr>
          <w:rFonts w:ascii="Arial" w:hAnsi="Arial" w:cs="Arial"/>
          <w:b/>
          <w:color w:val="222222"/>
          <w:sz w:val="32"/>
          <w:szCs w:val="32"/>
          <w:shd w:val="clear" w:color="auto" w:fill="FFFFFF"/>
        </w:rPr>
        <w:t xml:space="preserve">auperización </w:t>
      </w:r>
      <w:r>
        <w:rPr>
          <w:rFonts w:ascii="Arial" w:hAnsi="Arial" w:cs="Arial"/>
          <w:b/>
          <w:color w:val="222222"/>
          <w:sz w:val="32"/>
          <w:szCs w:val="32"/>
          <w:shd w:val="clear" w:color="auto" w:fill="FFFFFF"/>
        </w:rPr>
        <w:t>social de la</w:t>
      </w:r>
      <w:r w:rsidR="00AF7D19">
        <w:rPr>
          <w:rFonts w:ascii="Arial" w:hAnsi="Arial" w:cs="Arial"/>
          <w:b/>
          <w:color w:val="222222"/>
          <w:sz w:val="32"/>
          <w:szCs w:val="32"/>
          <w:shd w:val="clear" w:color="auto" w:fill="FFFFFF"/>
        </w:rPr>
        <w:t xml:space="preserve"> Argenti</w:t>
      </w:r>
      <w:r w:rsidR="00A85070">
        <w:rPr>
          <w:rFonts w:ascii="Arial" w:hAnsi="Arial" w:cs="Arial"/>
          <w:b/>
          <w:color w:val="222222"/>
          <w:sz w:val="32"/>
          <w:szCs w:val="32"/>
          <w:shd w:val="clear" w:color="auto" w:fill="FFFFFF"/>
        </w:rPr>
        <w:t>na en tiempos de Macri y el FMI</w:t>
      </w:r>
    </w:p>
    <w:p w:rsidR="00AA53CD" w:rsidRDefault="00AA53CD" w:rsidP="00F56721">
      <w:pPr>
        <w:tabs>
          <w:tab w:val="left" w:pos="4962"/>
        </w:tabs>
        <w:spacing w:line="360" w:lineRule="auto"/>
        <w:jc w:val="both"/>
        <w:rPr>
          <w:rFonts w:ascii="Arial" w:hAnsi="Arial" w:cs="Arial"/>
          <w:color w:val="222222"/>
          <w:sz w:val="26"/>
          <w:szCs w:val="26"/>
          <w:shd w:val="clear" w:color="auto" w:fill="FFFFFF"/>
        </w:rPr>
      </w:pPr>
    </w:p>
    <w:p w:rsidR="00AF7D19" w:rsidRDefault="00AF7D19" w:rsidP="00F56721">
      <w:pPr>
        <w:tabs>
          <w:tab w:val="left" w:pos="4962"/>
        </w:tabs>
        <w:spacing w:line="360" w:lineRule="auto"/>
        <w:jc w:val="both"/>
        <w:rPr>
          <w:rFonts w:ascii="Arial" w:hAnsi="Arial" w:cs="Arial"/>
          <w:color w:val="222222"/>
          <w:sz w:val="26"/>
          <w:szCs w:val="26"/>
          <w:shd w:val="clear" w:color="auto" w:fill="FFFFFF"/>
        </w:rPr>
      </w:pPr>
      <w:r w:rsidRPr="00AA53CD">
        <w:rPr>
          <w:rFonts w:ascii="Arial" w:hAnsi="Arial" w:cs="Arial"/>
          <w:color w:val="222222"/>
          <w:sz w:val="26"/>
          <w:szCs w:val="26"/>
          <w:shd w:val="clear" w:color="auto" w:fill="FFFFFF"/>
        </w:rPr>
        <w:t xml:space="preserve">La dimensión territorial y los efectos sobre </w:t>
      </w:r>
      <w:r w:rsidR="00F56721" w:rsidRPr="00AA53CD">
        <w:rPr>
          <w:rFonts w:ascii="Arial" w:hAnsi="Arial" w:cs="Arial"/>
          <w:color w:val="222222"/>
          <w:sz w:val="26"/>
          <w:szCs w:val="26"/>
          <w:shd w:val="clear" w:color="auto" w:fill="FFFFFF"/>
        </w:rPr>
        <w:t xml:space="preserve">los grupos </w:t>
      </w:r>
      <w:r w:rsidR="00AA53CD">
        <w:rPr>
          <w:rFonts w:ascii="Arial" w:hAnsi="Arial" w:cs="Arial"/>
          <w:color w:val="222222"/>
          <w:sz w:val="26"/>
          <w:szCs w:val="26"/>
          <w:shd w:val="clear" w:color="auto" w:fill="FFFFFF"/>
        </w:rPr>
        <w:t>más vulnerables</w:t>
      </w:r>
    </w:p>
    <w:p w:rsidR="00A85070" w:rsidRPr="00AA53CD" w:rsidRDefault="00A85070" w:rsidP="00F56721">
      <w:pPr>
        <w:tabs>
          <w:tab w:val="left" w:pos="4962"/>
        </w:tabs>
        <w:spacing w:line="360" w:lineRule="auto"/>
        <w:jc w:val="both"/>
        <w:rPr>
          <w:rFonts w:ascii="Arial" w:hAnsi="Arial" w:cs="Arial"/>
          <w:color w:val="222222"/>
          <w:sz w:val="26"/>
          <w:szCs w:val="26"/>
          <w:shd w:val="clear" w:color="auto" w:fill="FFFFFF"/>
        </w:rPr>
      </w:pPr>
      <w:r>
        <w:rPr>
          <w:rFonts w:ascii="Arial" w:hAnsi="Arial" w:cs="Arial"/>
          <w:color w:val="222222"/>
          <w:sz w:val="26"/>
          <w:szCs w:val="26"/>
          <w:shd w:val="clear" w:color="auto" w:fill="FFFFFF"/>
        </w:rPr>
        <w:t>Un aporte más para el Plan Argentina sin Hambre</w:t>
      </w:r>
    </w:p>
    <w:p w:rsidR="00AF7D19" w:rsidRDefault="00AF7D19" w:rsidP="00F56721">
      <w:pPr>
        <w:tabs>
          <w:tab w:val="left" w:pos="4962"/>
        </w:tabs>
        <w:rPr>
          <w:sz w:val="28"/>
          <w:szCs w:val="28"/>
        </w:rPr>
      </w:pPr>
    </w:p>
    <w:p w:rsidR="00AF7D19" w:rsidRDefault="00AF7D19" w:rsidP="00F56721">
      <w:pPr>
        <w:tabs>
          <w:tab w:val="left" w:pos="4962"/>
        </w:tabs>
        <w:rPr>
          <w:sz w:val="28"/>
          <w:szCs w:val="28"/>
        </w:rPr>
      </w:pPr>
    </w:p>
    <w:p w:rsidR="00AF7D19" w:rsidRPr="00B81C74" w:rsidRDefault="00AF7D19" w:rsidP="00AA53CD">
      <w:pPr>
        <w:tabs>
          <w:tab w:val="left" w:pos="4962"/>
        </w:tabs>
        <w:spacing w:after="0" w:line="240" w:lineRule="auto"/>
        <w:jc w:val="right"/>
        <w:rPr>
          <w:sz w:val="24"/>
          <w:szCs w:val="24"/>
          <w:u w:val="single"/>
        </w:rPr>
      </w:pPr>
      <w:r w:rsidRPr="00B81C74">
        <w:rPr>
          <w:sz w:val="24"/>
          <w:szCs w:val="24"/>
          <w:u w:val="single"/>
        </w:rPr>
        <w:t>BASE ESTADÍSTICA</w:t>
      </w:r>
    </w:p>
    <w:p w:rsidR="00AF7D19" w:rsidRPr="00B81C74" w:rsidRDefault="00AF7D19" w:rsidP="00AA53CD">
      <w:pPr>
        <w:tabs>
          <w:tab w:val="left" w:pos="4962"/>
        </w:tabs>
        <w:spacing w:after="0" w:line="240" w:lineRule="auto"/>
        <w:jc w:val="right"/>
        <w:rPr>
          <w:sz w:val="24"/>
          <w:szCs w:val="24"/>
        </w:rPr>
      </w:pPr>
      <w:r w:rsidRPr="00B81C74">
        <w:rPr>
          <w:sz w:val="24"/>
          <w:szCs w:val="24"/>
        </w:rPr>
        <w:t>SAMANTHA HORWITZ</w:t>
      </w:r>
    </w:p>
    <w:p w:rsidR="00AF7D19" w:rsidRPr="00B81C74" w:rsidRDefault="00AF7D19" w:rsidP="00AA53CD">
      <w:pPr>
        <w:tabs>
          <w:tab w:val="left" w:pos="4962"/>
        </w:tabs>
        <w:spacing w:after="0" w:line="240" w:lineRule="auto"/>
        <w:jc w:val="right"/>
        <w:rPr>
          <w:sz w:val="24"/>
          <w:szCs w:val="24"/>
        </w:rPr>
      </w:pPr>
      <w:r w:rsidRPr="00B81C74">
        <w:rPr>
          <w:sz w:val="24"/>
          <w:szCs w:val="24"/>
        </w:rPr>
        <w:t>JAVIER RAMERI</w:t>
      </w:r>
    </w:p>
    <w:p w:rsidR="00AF7D19" w:rsidRPr="00B81C74" w:rsidRDefault="00F56721" w:rsidP="00AA53CD">
      <w:pPr>
        <w:tabs>
          <w:tab w:val="left" w:pos="4962"/>
        </w:tabs>
        <w:spacing w:after="0" w:line="240" w:lineRule="auto"/>
        <w:jc w:val="right"/>
        <w:rPr>
          <w:sz w:val="24"/>
          <w:szCs w:val="24"/>
        </w:rPr>
      </w:pPr>
      <w:r>
        <w:rPr>
          <w:sz w:val="24"/>
          <w:szCs w:val="24"/>
        </w:rPr>
        <w:t>IGNACIO LÓ</w:t>
      </w:r>
      <w:r w:rsidR="00AF7D19" w:rsidRPr="00B81C74">
        <w:rPr>
          <w:sz w:val="24"/>
          <w:szCs w:val="24"/>
        </w:rPr>
        <w:t>PEZ MIERES</w:t>
      </w:r>
    </w:p>
    <w:p w:rsidR="00AF7D19" w:rsidRDefault="00AF7D19" w:rsidP="00F56721">
      <w:pPr>
        <w:tabs>
          <w:tab w:val="left" w:pos="4962"/>
        </w:tabs>
        <w:rPr>
          <w:sz w:val="28"/>
          <w:szCs w:val="28"/>
        </w:rPr>
      </w:pPr>
    </w:p>
    <w:p w:rsidR="00AF7D19" w:rsidRDefault="00AF7D19" w:rsidP="00F56721">
      <w:pPr>
        <w:tabs>
          <w:tab w:val="left" w:pos="4962"/>
        </w:tabs>
        <w:rPr>
          <w:sz w:val="28"/>
          <w:szCs w:val="28"/>
        </w:rPr>
      </w:pPr>
    </w:p>
    <w:p w:rsidR="00AF7D19" w:rsidRDefault="00AF7D19" w:rsidP="00F56721">
      <w:pPr>
        <w:tabs>
          <w:tab w:val="left" w:pos="4962"/>
        </w:tabs>
        <w:rPr>
          <w:sz w:val="28"/>
          <w:szCs w:val="28"/>
        </w:rPr>
      </w:pPr>
    </w:p>
    <w:p w:rsidR="00AF7D19" w:rsidRPr="00F56721" w:rsidRDefault="00AF7D19" w:rsidP="00F56721">
      <w:pPr>
        <w:tabs>
          <w:tab w:val="left" w:pos="4962"/>
        </w:tabs>
        <w:jc w:val="center"/>
        <w:rPr>
          <w:sz w:val="28"/>
          <w:szCs w:val="28"/>
        </w:rPr>
      </w:pPr>
      <w:r w:rsidRPr="00F56721">
        <w:rPr>
          <w:sz w:val="28"/>
          <w:szCs w:val="28"/>
        </w:rPr>
        <w:t>CLAUDIO LOZANO</w:t>
      </w:r>
    </w:p>
    <w:p w:rsidR="00182194" w:rsidRDefault="00182194" w:rsidP="00182194">
      <w:pPr>
        <w:spacing w:after="0"/>
        <w:jc w:val="both"/>
        <w:rPr>
          <w:rFonts w:cs="Times New Roman"/>
          <w:szCs w:val="24"/>
          <w:u w:val="single"/>
        </w:rPr>
      </w:pPr>
    </w:p>
    <w:p w:rsidR="00182194" w:rsidRPr="00D726CF" w:rsidRDefault="00182194" w:rsidP="00182194">
      <w:pPr>
        <w:spacing w:after="0"/>
        <w:jc w:val="both"/>
        <w:rPr>
          <w:rFonts w:cs="Times New Roman"/>
          <w:b/>
          <w:szCs w:val="24"/>
          <w:u w:val="single"/>
        </w:rPr>
      </w:pPr>
      <w:r w:rsidRPr="00D726CF">
        <w:rPr>
          <w:rFonts w:cs="Times New Roman"/>
          <w:b/>
          <w:szCs w:val="24"/>
          <w:u w:val="single"/>
        </w:rPr>
        <w:lastRenderedPageBreak/>
        <w:t>Síntesis:</w:t>
      </w:r>
    </w:p>
    <w:p w:rsidR="00182194" w:rsidRDefault="00182194" w:rsidP="00182194">
      <w:pPr>
        <w:spacing w:after="0"/>
        <w:ind w:firstLine="708"/>
        <w:jc w:val="both"/>
        <w:rPr>
          <w:rFonts w:cs="Times New Roman"/>
          <w:szCs w:val="24"/>
        </w:rPr>
      </w:pPr>
    </w:p>
    <w:p w:rsidR="004040EF" w:rsidRPr="00255D66" w:rsidRDefault="00BF3AA5" w:rsidP="00182194">
      <w:pPr>
        <w:spacing w:after="0"/>
        <w:ind w:firstLine="708"/>
        <w:jc w:val="both"/>
        <w:rPr>
          <w:rFonts w:cs="Times New Roman"/>
          <w:szCs w:val="24"/>
        </w:rPr>
      </w:pPr>
      <w:r>
        <w:rPr>
          <w:rFonts w:cs="Times New Roman"/>
          <w:szCs w:val="24"/>
        </w:rPr>
        <w:t xml:space="preserve">A continuación presentamos el segundo informe </w:t>
      </w:r>
      <w:r w:rsidR="00576F90">
        <w:rPr>
          <w:rFonts w:cs="Times New Roman"/>
          <w:szCs w:val="24"/>
        </w:rPr>
        <w:t>d</w:t>
      </w:r>
      <w:r>
        <w:rPr>
          <w:rFonts w:cs="Times New Roman"/>
          <w:szCs w:val="24"/>
        </w:rPr>
        <w:t xml:space="preserve">e análisis </w:t>
      </w:r>
      <w:r w:rsidR="00576F90">
        <w:rPr>
          <w:rFonts w:cs="Times New Roman"/>
          <w:szCs w:val="24"/>
        </w:rPr>
        <w:t>sobre los resultados de pobreza e indigencia</w:t>
      </w:r>
      <w:r w:rsidR="00576F90">
        <w:rPr>
          <w:rStyle w:val="Refdenotaalpie"/>
          <w:rFonts w:cs="Times New Roman"/>
          <w:szCs w:val="24"/>
        </w:rPr>
        <w:footnoteReference w:id="1"/>
      </w:r>
      <w:r w:rsidR="008529FE">
        <w:rPr>
          <w:rFonts w:cs="Times New Roman"/>
          <w:szCs w:val="24"/>
        </w:rPr>
        <w:t xml:space="preserve"> que corresponde al primer semestre 2019. Como lo hemos indicado en distintas oportunidades, nuestr</w:t>
      </w:r>
      <w:r w:rsidR="004040EF">
        <w:rPr>
          <w:rFonts w:cs="Times New Roman"/>
          <w:szCs w:val="24"/>
        </w:rPr>
        <w:t xml:space="preserve">o instituto realiza un seguimiento </w:t>
      </w:r>
      <w:r w:rsidR="008529FE">
        <w:rPr>
          <w:rFonts w:cs="Times New Roman"/>
          <w:szCs w:val="24"/>
        </w:rPr>
        <w:t xml:space="preserve">trimestral de los resultados </w:t>
      </w:r>
      <w:r w:rsidR="004040EF">
        <w:rPr>
          <w:rFonts w:cs="Times New Roman"/>
          <w:szCs w:val="24"/>
        </w:rPr>
        <w:t>que</w:t>
      </w:r>
      <w:r w:rsidR="008529FE">
        <w:rPr>
          <w:rFonts w:cs="Times New Roman"/>
          <w:szCs w:val="24"/>
        </w:rPr>
        <w:t xml:space="preserve"> la EPH – </w:t>
      </w:r>
      <w:r w:rsidR="008529FE" w:rsidRPr="00255D66">
        <w:rPr>
          <w:rFonts w:cs="Times New Roman"/>
          <w:szCs w:val="24"/>
        </w:rPr>
        <w:t xml:space="preserve">INDEC </w:t>
      </w:r>
      <w:r w:rsidR="004040EF" w:rsidRPr="00255D66">
        <w:rPr>
          <w:rFonts w:cs="Times New Roman"/>
          <w:szCs w:val="24"/>
        </w:rPr>
        <w:t xml:space="preserve">publica </w:t>
      </w:r>
      <w:r w:rsidR="008529FE" w:rsidRPr="00255D66">
        <w:rPr>
          <w:rFonts w:cs="Times New Roman"/>
          <w:szCs w:val="24"/>
        </w:rPr>
        <w:t xml:space="preserve">de manera semestral. </w:t>
      </w:r>
      <w:r w:rsidR="004040EF" w:rsidRPr="00255D66">
        <w:rPr>
          <w:rFonts w:cs="Times New Roman"/>
          <w:szCs w:val="24"/>
        </w:rPr>
        <w:t>En este marco, la tasa de pobreza del primer semestre del 35,4% se compone de un primer trimestre que arrojó un nivel del 34,1% y un segundo trimestre que alcanzó el 36,7%.</w:t>
      </w:r>
      <w:r w:rsidR="00255D66" w:rsidRPr="00255D66">
        <w:rPr>
          <w:rFonts w:cs="Times New Roman"/>
          <w:szCs w:val="24"/>
        </w:rPr>
        <w:t xml:space="preserve"> Por su parte, el resultado semestral de </w:t>
      </w:r>
      <w:r w:rsidR="00255D66">
        <w:rPr>
          <w:rFonts w:cs="Times New Roman"/>
          <w:szCs w:val="24"/>
        </w:rPr>
        <w:t xml:space="preserve">la </w:t>
      </w:r>
      <w:r w:rsidR="00255D66" w:rsidRPr="00255D66">
        <w:rPr>
          <w:rFonts w:cs="Times New Roman"/>
          <w:szCs w:val="24"/>
        </w:rPr>
        <w:t xml:space="preserve">indigencia del 7,7% es el resultado </w:t>
      </w:r>
      <w:r w:rsidR="00255D66">
        <w:rPr>
          <w:rFonts w:cs="Times New Roman"/>
          <w:szCs w:val="24"/>
        </w:rPr>
        <w:t>de una tasa del</w:t>
      </w:r>
      <w:r w:rsidR="00255D66" w:rsidRPr="00255D66">
        <w:rPr>
          <w:rFonts w:cs="Times New Roman"/>
          <w:szCs w:val="24"/>
        </w:rPr>
        <w:t xml:space="preserve"> 7,1% correspondiente al </w:t>
      </w:r>
      <w:r w:rsidR="004040EF" w:rsidRPr="00255D66">
        <w:rPr>
          <w:rFonts w:cs="Times New Roman"/>
          <w:szCs w:val="24"/>
        </w:rPr>
        <w:t>primer trimestre y</w:t>
      </w:r>
      <w:r w:rsidR="00255D66" w:rsidRPr="00255D66">
        <w:rPr>
          <w:rFonts w:cs="Times New Roman"/>
          <w:szCs w:val="24"/>
        </w:rPr>
        <w:t xml:space="preserve"> del 8,3% durante el segundo trimestre 2019</w:t>
      </w:r>
      <w:r w:rsidR="00255D66">
        <w:rPr>
          <w:rFonts w:cs="Times New Roman"/>
          <w:szCs w:val="24"/>
        </w:rPr>
        <w:t>.</w:t>
      </w:r>
      <w:r w:rsidR="004040EF" w:rsidRPr="00255D66">
        <w:rPr>
          <w:rFonts w:cs="Times New Roman"/>
          <w:szCs w:val="24"/>
        </w:rPr>
        <w:t xml:space="preserve"> </w:t>
      </w:r>
    </w:p>
    <w:p w:rsidR="004040EF" w:rsidRDefault="004040EF" w:rsidP="00182194">
      <w:pPr>
        <w:spacing w:after="0"/>
        <w:ind w:firstLine="708"/>
        <w:jc w:val="both"/>
        <w:rPr>
          <w:rFonts w:cs="Times New Roman"/>
          <w:szCs w:val="24"/>
        </w:rPr>
      </w:pPr>
    </w:p>
    <w:p w:rsidR="00BF3AA5" w:rsidRDefault="008529FE" w:rsidP="00182194">
      <w:pPr>
        <w:spacing w:after="0"/>
        <w:ind w:firstLine="708"/>
        <w:jc w:val="both"/>
        <w:rPr>
          <w:rFonts w:cs="Times New Roman"/>
          <w:szCs w:val="24"/>
        </w:rPr>
      </w:pPr>
      <w:r>
        <w:rPr>
          <w:rFonts w:cs="Times New Roman"/>
          <w:szCs w:val="24"/>
        </w:rPr>
        <w:t>De esta manera, lo que en el presente documento se pone en consideración es la información sobre el segundo trimestre 2019</w:t>
      </w:r>
      <w:r w:rsidR="00255D66">
        <w:rPr>
          <w:rFonts w:cs="Times New Roman"/>
          <w:szCs w:val="24"/>
        </w:rPr>
        <w:t>,</w:t>
      </w:r>
      <w:r w:rsidR="004040EF">
        <w:rPr>
          <w:rFonts w:cs="Times New Roman"/>
          <w:szCs w:val="24"/>
        </w:rPr>
        <w:t xml:space="preserve"> </w:t>
      </w:r>
      <w:r w:rsidR="00255D66">
        <w:rPr>
          <w:rFonts w:cs="Times New Roman"/>
          <w:szCs w:val="24"/>
        </w:rPr>
        <w:t>última</w:t>
      </w:r>
      <w:r w:rsidR="004040EF">
        <w:rPr>
          <w:rFonts w:cs="Times New Roman"/>
          <w:szCs w:val="24"/>
        </w:rPr>
        <w:t xml:space="preserve"> actualización disponible</w:t>
      </w:r>
      <w:r w:rsidR="00255D66">
        <w:rPr>
          <w:rFonts w:cs="Times New Roman"/>
          <w:szCs w:val="24"/>
        </w:rPr>
        <w:t>,</w:t>
      </w:r>
      <w:r>
        <w:rPr>
          <w:rFonts w:cs="Times New Roman"/>
          <w:szCs w:val="24"/>
        </w:rPr>
        <w:t xml:space="preserve"> </w:t>
      </w:r>
      <w:r w:rsidR="000D0CAF">
        <w:rPr>
          <w:rFonts w:cs="Times New Roman"/>
          <w:szCs w:val="24"/>
        </w:rPr>
        <w:t>favoreciendo una lectura desagregada</w:t>
      </w:r>
      <w:r>
        <w:rPr>
          <w:rFonts w:cs="Times New Roman"/>
          <w:szCs w:val="24"/>
        </w:rPr>
        <w:t xml:space="preserve"> por provincia y grupos de edad.</w:t>
      </w:r>
      <w:r w:rsidR="00576F90">
        <w:rPr>
          <w:rFonts w:cs="Times New Roman"/>
          <w:szCs w:val="24"/>
        </w:rPr>
        <w:t xml:space="preserve"> </w:t>
      </w:r>
      <w:r w:rsidR="004040EF">
        <w:rPr>
          <w:rFonts w:cs="Times New Roman"/>
          <w:szCs w:val="24"/>
        </w:rPr>
        <w:t xml:space="preserve"> </w:t>
      </w:r>
    </w:p>
    <w:p w:rsidR="00BF3AA5" w:rsidRDefault="00BF3AA5" w:rsidP="00182194">
      <w:pPr>
        <w:spacing w:after="0"/>
        <w:ind w:firstLine="708"/>
        <w:jc w:val="both"/>
        <w:rPr>
          <w:rFonts w:cs="Times New Roman"/>
          <w:szCs w:val="24"/>
        </w:rPr>
      </w:pPr>
    </w:p>
    <w:p w:rsidR="00182194" w:rsidRDefault="00B00A7F" w:rsidP="008529FE">
      <w:pPr>
        <w:spacing w:after="0"/>
        <w:ind w:firstLine="708"/>
        <w:jc w:val="both"/>
        <w:rPr>
          <w:rFonts w:cs="Times New Roman"/>
          <w:szCs w:val="24"/>
        </w:rPr>
      </w:pPr>
      <w:r>
        <w:rPr>
          <w:rFonts w:cs="Times New Roman"/>
          <w:szCs w:val="24"/>
        </w:rPr>
        <w:t>Simultáneamente</w:t>
      </w:r>
      <w:r w:rsidR="008529FE">
        <w:rPr>
          <w:rFonts w:cs="Times New Roman"/>
          <w:szCs w:val="24"/>
        </w:rPr>
        <w:t>, e</w:t>
      </w:r>
      <w:r w:rsidR="00182194">
        <w:rPr>
          <w:rFonts w:cs="Times New Roman"/>
          <w:szCs w:val="24"/>
        </w:rPr>
        <w:t xml:space="preserve">n el marco de la presentación del Plan Argentina sin Hambre, </w:t>
      </w:r>
      <w:r w:rsidR="008529FE">
        <w:rPr>
          <w:rFonts w:cs="Times New Roman"/>
          <w:szCs w:val="24"/>
        </w:rPr>
        <w:t>buscamos realiza</w:t>
      </w:r>
      <w:r>
        <w:rPr>
          <w:rFonts w:cs="Times New Roman"/>
          <w:szCs w:val="24"/>
        </w:rPr>
        <w:t>r</w:t>
      </w:r>
      <w:r w:rsidR="00182194">
        <w:rPr>
          <w:rFonts w:cs="Times New Roman"/>
          <w:szCs w:val="24"/>
        </w:rPr>
        <w:t xml:space="preserve"> un</w:t>
      </w:r>
      <w:r w:rsidR="002140A3">
        <w:rPr>
          <w:rFonts w:cs="Times New Roman"/>
          <w:szCs w:val="24"/>
        </w:rPr>
        <w:t xml:space="preserve"> </w:t>
      </w:r>
      <w:r w:rsidR="008529FE">
        <w:rPr>
          <w:rFonts w:cs="Times New Roman"/>
          <w:szCs w:val="24"/>
        </w:rPr>
        <w:t>aporte</w:t>
      </w:r>
      <w:r>
        <w:rPr>
          <w:rFonts w:cs="Times New Roman"/>
          <w:szCs w:val="24"/>
        </w:rPr>
        <w:t xml:space="preserve"> más</w:t>
      </w:r>
      <w:r w:rsidR="008529FE">
        <w:rPr>
          <w:rFonts w:cs="Times New Roman"/>
          <w:szCs w:val="24"/>
        </w:rPr>
        <w:t xml:space="preserve"> que permita</w:t>
      </w:r>
      <w:r w:rsidR="00182194">
        <w:rPr>
          <w:rFonts w:cs="Times New Roman"/>
          <w:szCs w:val="24"/>
        </w:rPr>
        <w:t xml:space="preserve"> localizar, </w:t>
      </w:r>
      <w:r w:rsidR="005B11F9">
        <w:rPr>
          <w:rFonts w:cs="Times New Roman"/>
          <w:szCs w:val="24"/>
        </w:rPr>
        <w:t xml:space="preserve">tanto </w:t>
      </w:r>
      <w:r w:rsidR="00182194">
        <w:rPr>
          <w:rFonts w:cs="Times New Roman"/>
          <w:szCs w:val="24"/>
        </w:rPr>
        <w:t xml:space="preserve">en términos territoriales como </w:t>
      </w:r>
      <w:r w:rsidR="005B11F9">
        <w:rPr>
          <w:rFonts w:cs="Times New Roman"/>
          <w:szCs w:val="24"/>
        </w:rPr>
        <w:t xml:space="preserve">en </w:t>
      </w:r>
      <w:r w:rsidR="00182194">
        <w:rPr>
          <w:rFonts w:cs="Times New Roman"/>
          <w:szCs w:val="24"/>
        </w:rPr>
        <w:t>grupos etarios, el fenómeno de pobreza en general y su e</w:t>
      </w:r>
      <w:r w:rsidR="00EE66FA">
        <w:rPr>
          <w:rFonts w:cs="Times New Roman"/>
          <w:szCs w:val="24"/>
        </w:rPr>
        <w:t>xpresión más extrema, el hambre. A co</w:t>
      </w:r>
      <w:r w:rsidR="00CA72CC">
        <w:rPr>
          <w:rFonts w:cs="Times New Roman"/>
          <w:szCs w:val="24"/>
        </w:rPr>
        <w:t>ntinuación sintetizamos</w:t>
      </w:r>
      <w:r w:rsidR="00BF0C88">
        <w:rPr>
          <w:rFonts w:cs="Times New Roman"/>
          <w:szCs w:val="24"/>
        </w:rPr>
        <w:t>, sobre la base de los resultados trimestrales,</w:t>
      </w:r>
      <w:r w:rsidR="00CA72CC">
        <w:rPr>
          <w:rFonts w:cs="Times New Roman"/>
          <w:szCs w:val="24"/>
        </w:rPr>
        <w:t xml:space="preserve"> </w:t>
      </w:r>
      <w:r w:rsidR="00EE66FA">
        <w:rPr>
          <w:rFonts w:cs="Times New Roman"/>
          <w:szCs w:val="24"/>
        </w:rPr>
        <w:t xml:space="preserve">los rasgos </w:t>
      </w:r>
      <w:r w:rsidR="005562D9">
        <w:rPr>
          <w:rFonts w:cs="Times New Roman"/>
          <w:szCs w:val="24"/>
        </w:rPr>
        <w:t>que surgen del informe:</w:t>
      </w:r>
      <w:r w:rsidR="00EE66FA">
        <w:rPr>
          <w:rFonts w:cs="Times New Roman"/>
          <w:szCs w:val="24"/>
        </w:rPr>
        <w:t xml:space="preserve"> </w:t>
      </w:r>
    </w:p>
    <w:p w:rsidR="00182194" w:rsidRDefault="00182194" w:rsidP="00182194">
      <w:pPr>
        <w:spacing w:after="0"/>
        <w:ind w:firstLine="708"/>
        <w:jc w:val="both"/>
        <w:rPr>
          <w:rFonts w:cs="Times New Roman"/>
          <w:szCs w:val="24"/>
        </w:rPr>
      </w:pPr>
    </w:p>
    <w:p w:rsidR="007F35A1" w:rsidRDefault="00EE66FA" w:rsidP="00182194">
      <w:pPr>
        <w:pStyle w:val="Prrafodelista"/>
        <w:numPr>
          <w:ilvl w:val="0"/>
          <w:numId w:val="1"/>
        </w:numPr>
        <w:spacing w:after="0"/>
        <w:jc w:val="both"/>
        <w:rPr>
          <w:rFonts w:cs="Times New Roman"/>
          <w:szCs w:val="24"/>
        </w:rPr>
      </w:pPr>
      <w:r>
        <w:rPr>
          <w:rFonts w:cs="Times New Roman"/>
          <w:szCs w:val="24"/>
        </w:rPr>
        <w:t>Las provincias</w:t>
      </w:r>
      <w:r w:rsidR="00D30730">
        <w:rPr>
          <w:rFonts w:cs="Times New Roman"/>
          <w:szCs w:val="24"/>
        </w:rPr>
        <w:t xml:space="preserve"> del norte argentino son las que tienen las tasas de pobreza más </w:t>
      </w:r>
      <w:r w:rsidR="005562D9">
        <w:rPr>
          <w:rFonts w:cs="Times New Roman"/>
          <w:szCs w:val="24"/>
        </w:rPr>
        <w:t>elevadas (el NEA y NOA)</w:t>
      </w:r>
      <w:r w:rsidR="007035C3">
        <w:rPr>
          <w:rFonts w:cs="Times New Roman"/>
          <w:szCs w:val="24"/>
        </w:rPr>
        <w:t>,</w:t>
      </w:r>
      <w:r w:rsidR="005562D9">
        <w:rPr>
          <w:rFonts w:cs="Times New Roman"/>
          <w:szCs w:val="24"/>
        </w:rPr>
        <w:t xml:space="preserve"> una parte importante de las cuales superan el 40% en pobreza</w:t>
      </w:r>
      <w:r w:rsidR="00F67F71">
        <w:rPr>
          <w:rFonts w:cs="Times New Roman"/>
          <w:szCs w:val="24"/>
        </w:rPr>
        <w:t xml:space="preserve">. </w:t>
      </w:r>
      <w:r w:rsidR="007035C3">
        <w:rPr>
          <w:rFonts w:cs="Times New Roman"/>
          <w:szCs w:val="24"/>
        </w:rPr>
        <w:t xml:space="preserve">Las </w:t>
      </w:r>
      <w:r w:rsidR="00BF0C88">
        <w:rPr>
          <w:rFonts w:cs="Times New Roman"/>
          <w:szCs w:val="24"/>
        </w:rPr>
        <w:t>ocho</w:t>
      </w:r>
      <w:r w:rsidR="007035C3">
        <w:rPr>
          <w:rFonts w:cs="Times New Roman"/>
          <w:szCs w:val="24"/>
        </w:rPr>
        <w:t xml:space="preserve"> provincias más pobres son Santiago del Estero,</w:t>
      </w:r>
      <w:r w:rsidR="00BF0C88">
        <w:rPr>
          <w:rFonts w:cs="Times New Roman"/>
          <w:szCs w:val="24"/>
        </w:rPr>
        <w:t xml:space="preserve"> Chaco, Catamarca, Tucumán, </w:t>
      </w:r>
      <w:r w:rsidR="007035C3">
        <w:rPr>
          <w:rFonts w:cs="Times New Roman"/>
          <w:szCs w:val="24"/>
        </w:rPr>
        <w:t>Salta, Corrientes</w:t>
      </w:r>
      <w:r w:rsidR="00BF0C88">
        <w:rPr>
          <w:rFonts w:cs="Times New Roman"/>
          <w:szCs w:val="24"/>
        </w:rPr>
        <w:t>, Entre Ríos y Misiones</w:t>
      </w:r>
      <w:r w:rsidR="007035C3">
        <w:rPr>
          <w:rFonts w:cs="Times New Roman"/>
          <w:szCs w:val="24"/>
        </w:rPr>
        <w:t xml:space="preserve"> </w:t>
      </w:r>
      <w:r w:rsidR="00BF0C88">
        <w:rPr>
          <w:rFonts w:cs="Times New Roman"/>
          <w:szCs w:val="24"/>
        </w:rPr>
        <w:t>en las que</w:t>
      </w:r>
      <w:r w:rsidR="00E6192E">
        <w:rPr>
          <w:rFonts w:cs="Times New Roman"/>
          <w:szCs w:val="24"/>
        </w:rPr>
        <w:t xml:space="preserve"> reside aproximadamente un millón de personas</w:t>
      </w:r>
      <w:r w:rsidR="00BF0C88">
        <w:rPr>
          <w:rFonts w:cs="Times New Roman"/>
          <w:szCs w:val="24"/>
        </w:rPr>
        <w:t xml:space="preserve"> (con excepción de Catamarca)</w:t>
      </w:r>
      <w:r w:rsidR="00E6192E">
        <w:rPr>
          <w:rFonts w:cs="Times New Roman"/>
          <w:szCs w:val="24"/>
        </w:rPr>
        <w:t xml:space="preserve"> </w:t>
      </w:r>
      <w:r w:rsidR="00BF0C88">
        <w:rPr>
          <w:rFonts w:cs="Times New Roman"/>
          <w:szCs w:val="24"/>
        </w:rPr>
        <w:t>de las cuales</w:t>
      </w:r>
      <w:r w:rsidR="00E6192E">
        <w:rPr>
          <w:rFonts w:cs="Times New Roman"/>
          <w:szCs w:val="24"/>
        </w:rPr>
        <w:t xml:space="preserve"> casi medio millón son pobres.</w:t>
      </w:r>
    </w:p>
    <w:p w:rsidR="00182194" w:rsidRDefault="00182194" w:rsidP="007F35A1">
      <w:pPr>
        <w:pStyle w:val="Prrafodelista"/>
        <w:spacing w:after="0"/>
        <w:ind w:left="1068"/>
        <w:jc w:val="both"/>
        <w:rPr>
          <w:rFonts w:cs="Times New Roman"/>
          <w:szCs w:val="24"/>
        </w:rPr>
      </w:pPr>
    </w:p>
    <w:p w:rsidR="00E6192E" w:rsidRPr="00E6192E" w:rsidRDefault="00E6192E" w:rsidP="00E6192E">
      <w:pPr>
        <w:pStyle w:val="Prrafodelista"/>
        <w:numPr>
          <w:ilvl w:val="0"/>
          <w:numId w:val="1"/>
        </w:numPr>
        <w:spacing w:after="0"/>
        <w:jc w:val="both"/>
        <w:rPr>
          <w:rFonts w:cs="Times New Roman"/>
          <w:szCs w:val="24"/>
        </w:rPr>
      </w:pPr>
      <w:r>
        <w:rPr>
          <w:rFonts w:cs="Times New Roman"/>
          <w:szCs w:val="24"/>
        </w:rPr>
        <w:t>Si bien las expresiones de pobreza son m</w:t>
      </w:r>
      <w:r w:rsidR="005A186F">
        <w:rPr>
          <w:rFonts w:cs="Times New Roman"/>
          <w:szCs w:val="24"/>
        </w:rPr>
        <w:t>ás importantes en la zona norte</w:t>
      </w:r>
      <w:r>
        <w:rPr>
          <w:rFonts w:cs="Times New Roman"/>
          <w:szCs w:val="24"/>
        </w:rPr>
        <w:t xml:space="preserve"> del país, la </w:t>
      </w:r>
      <w:r w:rsidR="00432642">
        <w:rPr>
          <w:rFonts w:cs="Times New Roman"/>
          <w:szCs w:val="24"/>
        </w:rPr>
        <w:t>distribución</w:t>
      </w:r>
      <w:r>
        <w:rPr>
          <w:rFonts w:cs="Times New Roman"/>
          <w:szCs w:val="24"/>
        </w:rPr>
        <w:t xml:space="preserve"> demográfic</w:t>
      </w:r>
      <w:r w:rsidR="00F35CCD">
        <w:rPr>
          <w:rFonts w:cs="Times New Roman"/>
          <w:szCs w:val="24"/>
        </w:rPr>
        <w:t>a</w:t>
      </w:r>
      <w:r>
        <w:rPr>
          <w:rFonts w:cs="Times New Roman"/>
          <w:szCs w:val="24"/>
        </w:rPr>
        <w:t xml:space="preserve"> producto de</w:t>
      </w:r>
      <w:r w:rsidR="00F35CCD">
        <w:rPr>
          <w:rFonts w:cs="Times New Roman"/>
          <w:szCs w:val="24"/>
        </w:rPr>
        <w:t xml:space="preserve"> la</w:t>
      </w:r>
      <w:r w:rsidR="00295046">
        <w:rPr>
          <w:rFonts w:cs="Times New Roman"/>
          <w:szCs w:val="24"/>
        </w:rPr>
        <w:t xml:space="preserve"> concentración de</w:t>
      </w:r>
      <w:r w:rsidR="00F35CCD">
        <w:rPr>
          <w:rFonts w:cs="Times New Roman"/>
          <w:szCs w:val="24"/>
        </w:rPr>
        <w:t xml:space="preserve"> oportunidades</w:t>
      </w:r>
      <w:r w:rsidR="00295046">
        <w:rPr>
          <w:rFonts w:cs="Times New Roman"/>
          <w:szCs w:val="24"/>
        </w:rPr>
        <w:t xml:space="preserve"> en la franja central del territorio nacional, implica que</w:t>
      </w:r>
      <w:r w:rsidR="00FA2543">
        <w:rPr>
          <w:rFonts w:cs="Times New Roman"/>
          <w:szCs w:val="24"/>
        </w:rPr>
        <w:t xml:space="preserve"> en pocas provincias se concentre el grueso de la población pobre.</w:t>
      </w:r>
      <w:r w:rsidR="00F35CCD">
        <w:rPr>
          <w:rFonts w:cs="Times New Roman"/>
          <w:szCs w:val="24"/>
        </w:rPr>
        <w:t xml:space="preserve"> </w:t>
      </w:r>
      <w:r w:rsidR="007F10DF">
        <w:rPr>
          <w:rFonts w:cs="Times New Roman"/>
          <w:szCs w:val="24"/>
        </w:rPr>
        <w:t>Así, las provincias que superan el millón de personas pobres son: Buenos Aires (6,</w:t>
      </w:r>
      <w:r w:rsidR="00BF0C88">
        <w:rPr>
          <w:rFonts w:cs="Times New Roman"/>
          <w:szCs w:val="24"/>
        </w:rPr>
        <w:t>8</w:t>
      </w:r>
      <w:r w:rsidR="007F10DF">
        <w:rPr>
          <w:rFonts w:cs="Times New Roman"/>
          <w:szCs w:val="24"/>
        </w:rPr>
        <w:t xml:space="preserve"> millones</w:t>
      </w:r>
      <w:r w:rsidR="00FA2543">
        <w:rPr>
          <w:rFonts w:cs="Times New Roman"/>
          <w:szCs w:val="24"/>
        </w:rPr>
        <w:t xml:space="preserve">, el </w:t>
      </w:r>
      <w:r w:rsidR="00432642">
        <w:rPr>
          <w:rFonts w:cs="Times New Roman"/>
          <w:szCs w:val="24"/>
        </w:rPr>
        <w:t>4</w:t>
      </w:r>
      <w:r w:rsidR="00BF0C88">
        <w:rPr>
          <w:rFonts w:cs="Times New Roman"/>
          <w:szCs w:val="24"/>
        </w:rPr>
        <w:t>1,5</w:t>
      </w:r>
      <w:r w:rsidR="00432642">
        <w:rPr>
          <w:rFonts w:cs="Times New Roman"/>
          <w:szCs w:val="24"/>
        </w:rPr>
        <w:t>% del total</w:t>
      </w:r>
      <w:r w:rsidR="007F10DF">
        <w:rPr>
          <w:rFonts w:cs="Times New Roman"/>
          <w:szCs w:val="24"/>
        </w:rPr>
        <w:t>), Córdoba (1,4 millones</w:t>
      </w:r>
      <w:r w:rsidR="00432642">
        <w:rPr>
          <w:rFonts w:cs="Times New Roman"/>
          <w:szCs w:val="24"/>
        </w:rPr>
        <w:t>, el 8,5%</w:t>
      </w:r>
      <w:r w:rsidR="007F10DF">
        <w:rPr>
          <w:rFonts w:cs="Times New Roman"/>
          <w:szCs w:val="24"/>
        </w:rPr>
        <w:t>) y Santa Fe (1,</w:t>
      </w:r>
      <w:r w:rsidR="00BF0C88">
        <w:rPr>
          <w:rFonts w:cs="Times New Roman"/>
          <w:szCs w:val="24"/>
        </w:rPr>
        <w:t>4</w:t>
      </w:r>
      <w:r w:rsidR="007F10DF">
        <w:rPr>
          <w:rFonts w:cs="Times New Roman"/>
          <w:szCs w:val="24"/>
        </w:rPr>
        <w:t xml:space="preserve"> millones</w:t>
      </w:r>
      <w:r w:rsidR="00432642">
        <w:rPr>
          <w:rFonts w:cs="Times New Roman"/>
          <w:szCs w:val="24"/>
        </w:rPr>
        <w:t>, el 8%</w:t>
      </w:r>
      <w:r w:rsidR="007F10DF">
        <w:rPr>
          <w:rFonts w:cs="Times New Roman"/>
          <w:szCs w:val="24"/>
        </w:rPr>
        <w:t>).</w:t>
      </w:r>
      <w:r w:rsidR="00FA2543">
        <w:rPr>
          <w:rFonts w:cs="Times New Roman"/>
          <w:szCs w:val="24"/>
        </w:rPr>
        <w:t xml:space="preserve"> Es decir, el 60% de la población más vulnerable reside en</w:t>
      </w:r>
      <w:r w:rsidR="00432642">
        <w:rPr>
          <w:rFonts w:cs="Times New Roman"/>
          <w:szCs w:val="24"/>
        </w:rPr>
        <w:t xml:space="preserve"> sólo</w:t>
      </w:r>
      <w:r w:rsidR="00FA2543">
        <w:rPr>
          <w:rFonts w:cs="Times New Roman"/>
          <w:szCs w:val="24"/>
        </w:rPr>
        <w:t xml:space="preserve"> tres provincias.</w:t>
      </w:r>
    </w:p>
    <w:p w:rsidR="00EE66FA" w:rsidRPr="00EE66FA" w:rsidRDefault="00EE66FA" w:rsidP="009B3645">
      <w:pPr>
        <w:pStyle w:val="Prrafodelista"/>
        <w:spacing w:after="0"/>
        <w:ind w:left="1068"/>
        <w:jc w:val="both"/>
        <w:rPr>
          <w:rFonts w:cs="Times New Roman"/>
          <w:szCs w:val="24"/>
        </w:rPr>
      </w:pPr>
    </w:p>
    <w:p w:rsidR="00182194" w:rsidRDefault="00103292" w:rsidP="00182194">
      <w:pPr>
        <w:pStyle w:val="Prrafodelista"/>
        <w:numPr>
          <w:ilvl w:val="0"/>
          <w:numId w:val="1"/>
        </w:numPr>
        <w:spacing w:after="0"/>
        <w:jc w:val="both"/>
        <w:rPr>
          <w:rFonts w:cs="Times New Roman"/>
          <w:szCs w:val="24"/>
        </w:rPr>
      </w:pPr>
      <w:r>
        <w:rPr>
          <w:rFonts w:cs="Times New Roman"/>
          <w:szCs w:val="24"/>
        </w:rPr>
        <w:t>La falta del acceso a una alimentación adecuada</w:t>
      </w:r>
      <w:r w:rsidR="004B20D7">
        <w:rPr>
          <w:rFonts w:cs="Times New Roman"/>
          <w:szCs w:val="24"/>
        </w:rPr>
        <w:t>, si bien afecta también a las provincias del norte, se destaca que la mayor incidencia relativa se presenta a su vez en jurisdicciones de la zona Pampeana y la región del GBA, como La Pampa, Córdoba y Buenos Aires (cerca del 10% de la sus respectivas poblaciones es indigente).</w:t>
      </w:r>
    </w:p>
    <w:p w:rsidR="009B3645" w:rsidRDefault="009B3645" w:rsidP="009B3645">
      <w:pPr>
        <w:pStyle w:val="Prrafodelista"/>
        <w:rPr>
          <w:rFonts w:cs="Times New Roman"/>
          <w:szCs w:val="24"/>
        </w:rPr>
      </w:pPr>
    </w:p>
    <w:p w:rsidR="004B20D7" w:rsidRDefault="004B20D7" w:rsidP="00B92DFD">
      <w:pPr>
        <w:pStyle w:val="Prrafodelista"/>
        <w:numPr>
          <w:ilvl w:val="0"/>
          <w:numId w:val="1"/>
        </w:numPr>
        <w:jc w:val="both"/>
        <w:rPr>
          <w:rFonts w:cs="Times New Roman"/>
          <w:szCs w:val="24"/>
        </w:rPr>
      </w:pPr>
      <w:r>
        <w:rPr>
          <w:rFonts w:cs="Times New Roman"/>
          <w:szCs w:val="24"/>
        </w:rPr>
        <w:t>La distribución territorial de la población indigente, si bien vuelve a responder a la concentración demográfica</w:t>
      </w:r>
      <w:r w:rsidR="00E350F9">
        <w:rPr>
          <w:rFonts w:cs="Times New Roman"/>
          <w:szCs w:val="24"/>
        </w:rPr>
        <w:t xml:space="preserve"> vigente</w:t>
      </w:r>
      <w:r>
        <w:rPr>
          <w:rFonts w:cs="Times New Roman"/>
          <w:szCs w:val="24"/>
        </w:rPr>
        <w:t>,</w:t>
      </w:r>
      <w:r w:rsidR="00CF3679">
        <w:rPr>
          <w:rFonts w:cs="Times New Roman"/>
          <w:szCs w:val="24"/>
        </w:rPr>
        <w:t xml:space="preserve"> </w:t>
      </w:r>
      <w:r w:rsidR="00B92DFD">
        <w:rPr>
          <w:rFonts w:cs="Times New Roman"/>
          <w:szCs w:val="24"/>
        </w:rPr>
        <w:t>sobresale el agravamiento de la situación de indigencia en Chaco que a pesa</w:t>
      </w:r>
      <w:r w:rsidR="00EA0E84">
        <w:rPr>
          <w:rFonts w:cs="Times New Roman"/>
          <w:szCs w:val="24"/>
        </w:rPr>
        <w:t>r de no revestir singular importancia en términos poblacionales,</w:t>
      </w:r>
      <w:r w:rsidR="00B92DFD">
        <w:rPr>
          <w:rFonts w:cs="Times New Roman"/>
          <w:szCs w:val="24"/>
        </w:rPr>
        <w:t xml:space="preserve"> es la tercera jurisdicc</w:t>
      </w:r>
      <w:r w:rsidR="00EA0E84">
        <w:rPr>
          <w:rFonts w:cs="Times New Roman"/>
          <w:szCs w:val="24"/>
        </w:rPr>
        <w:t>i</w:t>
      </w:r>
      <w:r w:rsidR="00B92DFD">
        <w:rPr>
          <w:rFonts w:cs="Times New Roman"/>
          <w:szCs w:val="24"/>
        </w:rPr>
        <w:t xml:space="preserve">ón, luego de Buenos Aires y Córdoba, que concentra </w:t>
      </w:r>
      <w:r w:rsidR="00EA0E84">
        <w:rPr>
          <w:rFonts w:cs="Times New Roman"/>
          <w:szCs w:val="24"/>
        </w:rPr>
        <w:t>la mayor cantidad de personas que pasan hambre en el país.</w:t>
      </w:r>
    </w:p>
    <w:p w:rsidR="00976B43" w:rsidRPr="00976B43" w:rsidRDefault="00976B43" w:rsidP="00976B43">
      <w:pPr>
        <w:pStyle w:val="Prrafodelista"/>
        <w:rPr>
          <w:rFonts w:cs="Times New Roman"/>
          <w:szCs w:val="24"/>
        </w:rPr>
      </w:pPr>
    </w:p>
    <w:p w:rsidR="00261447" w:rsidRDefault="00657E25" w:rsidP="00B92DFD">
      <w:pPr>
        <w:pStyle w:val="Prrafodelista"/>
        <w:numPr>
          <w:ilvl w:val="0"/>
          <w:numId w:val="1"/>
        </w:numPr>
        <w:jc w:val="both"/>
        <w:rPr>
          <w:rFonts w:cs="Times New Roman"/>
          <w:szCs w:val="24"/>
        </w:rPr>
      </w:pPr>
      <w:r>
        <w:rPr>
          <w:rFonts w:cs="Times New Roman"/>
          <w:szCs w:val="24"/>
        </w:rPr>
        <w:t>En el último</w:t>
      </w:r>
      <w:r w:rsidR="00251D2D">
        <w:rPr>
          <w:rFonts w:cs="Times New Roman"/>
          <w:szCs w:val="24"/>
        </w:rPr>
        <w:t xml:space="preserve"> año de aumento generalizado de</w:t>
      </w:r>
      <w:r>
        <w:rPr>
          <w:rFonts w:cs="Times New Roman"/>
          <w:szCs w:val="24"/>
        </w:rPr>
        <w:t xml:space="preserve"> la pobreza y el hambre a lo largo y a lo ancho del país, se destacan algunas jurisdicciones que generalmente no son tenidas en cuenta </w:t>
      </w:r>
      <w:r w:rsidR="00251D2D" w:rsidRPr="00251D2D">
        <w:rPr>
          <w:rFonts w:cs="Times New Roman"/>
          <w:szCs w:val="24"/>
        </w:rPr>
        <w:t>conforme</w:t>
      </w:r>
      <w:r>
        <w:rPr>
          <w:rFonts w:cs="Times New Roman"/>
          <w:szCs w:val="24"/>
        </w:rPr>
        <w:t xml:space="preserve"> a los bajos niveles relativos que asume este fenómeno. Este es el caso de algunas provincias patagónicas como Tierra del Fuego, Chubut y Río Negro </w:t>
      </w:r>
      <w:r w:rsidR="005A682C">
        <w:rPr>
          <w:rFonts w:cs="Times New Roman"/>
          <w:szCs w:val="24"/>
        </w:rPr>
        <w:t xml:space="preserve">que aumentaron las tasas de pobreza en un 131%, 84,3% y 53,5%, respectivamente. </w:t>
      </w:r>
    </w:p>
    <w:p w:rsidR="00A72A78" w:rsidRPr="00A72A78" w:rsidRDefault="00A72A78" w:rsidP="00A72A78">
      <w:pPr>
        <w:pStyle w:val="Prrafodelista"/>
        <w:rPr>
          <w:rFonts w:cs="Times New Roman"/>
          <w:szCs w:val="24"/>
        </w:rPr>
      </w:pPr>
    </w:p>
    <w:p w:rsidR="00182194" w:rsidRPr="00EE66FA" w:rsidRDefault="002140A3" w:rsidP="00182194">
      <w:pPr>
        <w:pStyle w:val="Prrafodelista"/>
        <w:numPr>
          <w:ilvl w:val="0"/>
          <w:numId w:val="1"/>
        </w:numPr>
        <w:spacing w:after="0"/>
        <w:jc w:val="both"/>
        <w:rPr>
          <w:rFonts w:cs="Times New Roman"/>
          <w:szCs w:val="24"/>
        </w:rPr>
      </w:pPr>
      <w:r>
        <w:rPr>
          <w:rFonts w:cs="Times New Roman"/>
          <w:szCs w:val="24"/>
        </w:rPr>
        <w:t>El rasgo de infantilización que asume la problemática del hambre y la pobreza queda, una vez más</w:t>
      </w:r>
      <w:r w:rsidR="005A682C">
        <w:rPr>
          <w:rFonts w:cs="Times New Roman"/>
          <w:szCs w:val="24"/>
        </w:rPr>
        <w:t>,</w:t>
      </w:r>
      <w:r>
        <w:rPr>
          <w:rFonts w:cs="Times New Roman"/>
          <w:szCs w:val="24"/>
        </w:rPr>
        <w:t xml:space="preserve"> expuesta en los últimos datos publicados: </w:t>
      </w:r>
      <w:r w:rsidR="005A682C">
        <w:rPr>
          <w:rFonts w:cs="Times New Roman"/>
          <w:szCs w:val="24"/>
        </w:rPr>
        <w:t>el 54,6% de chicos y chicas son pobres</w:t>
      </w:r>
      <w:r w:rsidR="00255E86">
        <w:rPr>
          <w:rFonts w:cs="Times New Roman"/>
          <w:szCs w:val="24"/>
        </w:rPr>
        <w:t xml:space="preserve"> y el 15% directamente pasa hambre. Estos representan el 36,5% de la población pobre y el 43,7% de la población indigente.</w:t>
      </w:r>
      <w:r w:rsidR="00FB58C2">
        <w:rPr>
          <w:rFonts w:cs="Times New Roman"/>
          <w:szCs w:val="24"/>
        </w:rPr>
        <w:t xml:space="preserve"> El hambre, entre nuestro</w:t>
      </w:r>
      <w:r w:rsidR="00251D2D">
        <w:rPr>
          <w:rFonts w:cs="Times New Roman"/>
          <w:szCs w:val="24"/>
        </w:rPr>
        <w:t>s</w:t>
      </w:r>
      <w:r w:rsidR="00FB58C2">
        <w:rPr>
          <w:rFonts w:cs="Times New Roman"/>
          <w:szCs w:val="24"/>
        </w:rPr>
        <w:t xml:space="preserve"> pibes, prácticamente se duplicó en el último año (la tasa de indigencia creció en un 80%). </w:t>
      </w:r>
      <w:r w:rsidR="005A682C">
        <w:rPr>
          <w:rFonts w:cs="Times New Roman"/>
          <w:szCs w:val="24"/>
        </w:rPr>
        <w:t xml:space="preserve"> </w:t>
      </w:r>
      <w:r w:rsidR="00182194" w:rsidRPr="00EE66FA">
        <w:rPr>
          <w:rFonts w:cs="Times New Roman"/>
          <w:szCs w:val="24"/>
        </w:rPr>
        <w:tab/>
      </w:r>
    </w:p>
    <w:p w:rsidR="00182194" w:rsidRPr="00EE66FA" w:rsidRDefault="00182194" w:rsidP="00182194">
      <w:pPr>
        <w:spacing w:after="0"/>
        <w:jc w:val="both"/>
        <w:rPr>
          <w:rFonts w:cs="Times New Roman"/>
          <w:szCs w:val="24"/>
        </w:rPr>
      </w:pPr>
    </w:p>
    <w:p w:rsidR="00BF5660" w:rsidRDefault="00FB7338" w:rsidP="00BA6AF1">
      <w:pPr>
        <w:spacing w:after="0"/>
        <w:ind w:firstLine="708"/>
        <w:jc w:val="both"/>
        <w:rPr>
          <w:rFonts w:cs="Times New Roman"/>
          <w:szCs w:val="24"/>
        </w:rPr>
      </w:pPr>
      <w:r w:rsidRPr="00EE66FA">
        <w:rPr>
          <w:rFonts w:cs="Times New Roman"/>
          <w:szCs w:val="24"/>
        </w:rPr>
        <w:t xml:space="preserve">Es decir, un programa </w:t>
      </w:r>
      <w:r w:rsidR="00FB58C2">
        <w:rPr>
          <w:rFonts w:cs="Times New Roman"/>
          <w:szCs w:val="24"/>
        </w:rPr>
        <w:t xml:space="preserve">integral para </w:t>
      </w:r>
      <w:r w:rsidRPr="00EE66FA">
        <w:rPr>
          <w:rFonts w:cs="Times New Roman"/>
          <w:szCs w:val="24"/>
        </w:rPr>
        <w:t xml:space="preserve">resolver el hambre debería </w:t>
      </w:r>
      <w:r w:rsidR="00FB58C2">
        <w:rPr>
          <w:rFonts w:cs="Times New Roman"/>
          <w:szCs w:val="24"/>
        </w:rPr>
        <w:t>orientarse a atender</w:t>
      </w:r>
      <w:r w:rsidRPr="00EE66FA">
        <w:rPr>
          <w:rFonts w:cs="Times New Roman"/>
          <w:szCs w:val="24"/>
        </w:rPr>
        <w:t xml:space="preserve"> las escasas oportunidades </w:t>
      </w:r>
      <w:r w:rsidR="00542495" w:rsidRPr="00EE66FA">
        <w:rPr>
          <w:rFonts w:cs="Times New Roman"/>
          <w:szCs w:val="24"/>
        </w:rPr>
        <w:t xml:space="preserve">de generación de ingresos que ofrecen las provincias del </w:t>
      </w:r>
      <w:r w:rsidRPr="00EE66FA">
        <w:rPr>
          <w:rFonts w:cs="Times New Roman"/>
          <w:szCs w:val="24"/>
        </w:rPr>
        <w:t>norte</w:t>
      </w:r>
      <w:r w:rsidR="00FB58C2">
        <w:rPr>
          <w:rFonts w:cs="Times New Roman"/>
          <w:szCs w:val="24"/>
        </w:rPr>
        <w:t xml:space="preserve">, </w:t>
      </w:r>
      <w:r w:rsidR="000E5A5E">
        <w:rPr>
          <w:rFonts w:cs="Times New Roman"/>
          <w:szCs w:val="24"/>
        </w:rPr>
        <w:t xml:space="preserve">que </w:t>
      </w:r>
      <w:r w:rsidR="00FB58C2">
        <w:rPr>
          <w:rFonts w:cs="Times New Roman"/>
          <w:szCs w:val="24"/>
        </w:rPr>
        <w:t>además de afectar</w:t>
      </w:r>
      <w:r w:rsidR="000E5A5E">
        <w:rPr>
          <w:rFonts w:cs="Times New Roman"/>
          <w:szCs w:val="24"/>
        </w:rPr>
        <w:t xml:space="preserve"> directamente</w:t>
      </w:r>
      <w:r w:rsidR="00FB58C2">
        <w:rPr>
          <w:rFonts w:cs="Times New Roman"/>
          <w:szCs w:val="24"/>
        </w:rPr>
        <w:t xml:space="preserve"> la calidad de vida a las personas que allí residen, </w:t>
      </w:r>
      <w:r w:rsidR="00542495" w:rsidRPr="00EE66FA">
        <w:rPr>
          <w:rFonts w:cs="Times New Roman"/>
          <w:szCs w:val="24"/>
        </w:rPr>
        <w:t>contribuye</w:t>
      </w:r>
      <w:r w:rsidR="005262D0">
        <w:rPr>
          <w:rFonts w:cs="Times New Roman"/>
          <w:szCs w:val="24"/>
        </w:rPr>
        <w:t>n</w:t>
      </w:r>
      <w:r w:rsidR="00542495" w:rsidRPr="00EE66FA">
        <w:rPr>
          <w:rFonts w:cs="Times New Roman"/>
          <w:szCs w:val="24"/>
        </w:rPr>
        <w:t xml:space="preserve"> </w:t>
      </w:r>
      <w:r w:rsidR="00FB58C2">
        <w:rPr>
          <w:rFonts w:cs="Times New Roman"/>
          <w:szCs w:val="24"/>
        </w:rPr>
        <w:t xml:space="preserve">al proceso de </w:t>
      </w:r>
      <w:r w:rsidRPr="00EE66FA">
        <w:rPr>
          <w:rFonts w:cs="Times New Roman"/>
          <w:szCs w:val="24"/>
        </w:rPr>
        <w:t xml:space="preserve"> concentración poblacional </w:t>
      </w:r>
      <w:r w:rsidR="00542495" w:rsidRPr="00EE66FA">
        <w:rPr>
          <w:rFonts w:cs="Times New Roman"/>
          <w:szCs w:val="24"/>
        </w:rPr>
        <w:t>en el</w:t>
      </w:r>
      <w:r w:rsidR="000136C4">
        <w:rPr>
          <w:rFonts w:cs="Times New Roman"/>
          <w:szCs w:val="24"/>
        </w:rPr>
        <w:t xml:space="preserve"> centro del país, especialmente en </w:t>
      </w:r>
      <w:r w:rsidR="00A9602B">
        <w:rPr>
          <w:rFonts w:cs="Times New Roman"/>
          <w:szCs w:val="24"/>
        </w:rPr>
        <w:t>la región del Gran Buenos Aires</w:t>
      </w:r>
      <w:r w:rsidR="00CA1F28">
        <w:rPr>
          <w:rFonts w:cs="Times New Roman"/>
          <w:szCs w:val="24"/>
        </w:rPr>
        <w:t xml:space="preserve"> que tensionan aún más para </w:t>
      </w:r>
      <w:r w:rsidR="00251D2D">
        <w:rPr>
          <w:rFonts w:cs="Times New Roman"/>
          <w:szCs w:val="24"/>
        </w:rPr>
        <w:t xml:space="preserve">la </w:t>
      </w:r>
      <w:r w:rsidR="00CA1F28">
        <w:rPr>
          <w:rFonts w:cs="Times New Roman"/>
          <w:szCs w:val="24"/>
        </w:rPr>
        <w:t>escasa capacidad inclusiva de la zona central</w:t>
      </w:r>
      <w:r w:rsidR="00A9602B">
        <w:rPr>
          <w:rFonts w:cs="Times New Roman"/>
          <w:szCs w:val="24"/>
        </w:rPr>
        <w:t>.</w:t>
      </w:r>
      <w:r w:rsidR="00FB58C2">
        <w:rPr>
          <w:rFonts w:cs="Times New Roman"/>
          <w:szCs w:val="24"/>
        </w:rPr>
        <w:t xml:space="preserve"> </w:t>
      </w:r>
    </w:p>
    <w:p w:rsidR="00BF5660" w:rsidRDefault="00BF5660" w:rsidP="00BA6AF1">
      <w:pPr>
        <w:spacing w:after="0"/>
        <w:ind w:firstLine="708"/>
        <w:jc w:val="both"/>
        <w:rPr>
          <w:rFonts w:cs="Times New Roman"/>
          <w:szCs w:val="24"/>
        </w:rPr>
      </w:pPr>
    </w:p>
    <w:p w:rsidR="00BF5660" w:rsidRDefault="00A9602B" w:rsidP="00BA6AF1">
      <w:pPr>
        <w:spacing w:after="0"/>
        <w:ind w:firstLine="708"/>
        <w:jc w:val="both"/>
        <w:rPr>
          <w:rFonts w:cs="Times New Roman"/>
          <w:szCs w:val="24"/>
        </w:rPr>
      </w:pPr>
      <w:r>
        <w:rPr>
          <w:rFonts w:cs="Times New Roman"/>
          <w:szCs w:val="24"/>
        </w:rPr>
        <w:t xml:space="preserve">Por otro lado, al bajo nivel de desarrollo estructural de </w:t>
      </w:r>
      <w:r w:rsidR="000E5A5E">
        <w:rPr>
          <w:rFonts w:cs="Times New Roman"/>
          <w:szCs w:val="24"/>
        </w:rPr>
        <w:t>las economías regionales agudizadas</w:t>
      </w:r>
      <w:r>
        <w:rPr>
          <w:rFonts w:cs="Times New Roman"/>
          <w:szCs w:val="24"/>
        </w:rPr>
        <w:t xml:space="preserve"> por la crisis vigente, se incorpora</w:t>
      </w:r>
      <w:r w:rsidR="00BA6AF1">
        <w:rPr>
          <w:rFonts w:cs="Times New Roman"/>
          <w:szCs w:val="24"/>
        </w:rPr>
        <w:t xml:space="preserve"> otro elemento</w:t>
      </w:r>
      <w:r>
        <w:rPr>
          <w:rFonts w:cs="Times New Roman"/>
          <w:szCs w:val="24"/>
        </w:rPr>
        <w:t xml:space="preserve"> de pauperización social vinculado al </w:t>
      </w:r>
      <w:r w:rsidR="000E5A5E">
        <w:rPr>
          <w:rFonts w:cs="Times New Roman"/>
          <w:szCs w:val="24"/>
        </w:rPr>
        <w:t>ordenamiento desigual sobre el que se organiza una de las</w:t>
      </w:r>
      <w:r w:rsidR="00CA1F28">
        <w:rPr>
          <w:rFonts w:cs="Times New Roman"/>
          <w:szCs w:val="24"/>
        </w:rPr>
        <w:t xml:space="preserve"> zona</w:t>
      </w:r>
      <w:r w:rsidR="000E5A5E">
        <w:rPr>
          <w:rFonts w:cs="Times New Roman"/>
          <w:szCs w:val="24"/>
        </w:rPr>
        <w:t>s</w:t>
      </w:r>
      <w:r w:rsidR="00CA1F28">
        <w:rPr>
          <w:rFonts w:cs="Times New Roman"/>
          <w:szCs w:val="24"/>
        </w:rPr>
        <w:t xml:space="preserve"> extractiva</w:t>
      </w:r>
      <w:r w:rsidR="000E5A5E">
        <w:rPr>
          <w:rFonts w:cs="Times New Roman"/>
          <w:szCs w:val="24"/>
        </w:rPr>
        <w:t>s</w:t>
      </w:r>
      <w:r w:rsidR="00CA1F28">
        <w:rPr>
          <w:rFonts w:cs="Times New Roman"/>
          <w:szCs w:val="24"/>
        </w:rPr>
        <w:t xml:space="preserve"> de país</w:t>
      </w:r>
      <w:r w:rsidR="000E5A5E">
        <w:rPr>
          <w:rFonts w:cs="Times New Roman"/>
          <w:szCs w:val="24"/>
        </w:rPr>
        <w:t>: el complejo sojero. Parte de las provincias má</w:t>
      </w:r>
      <w:r w:rsidR="00251D2D">
        <w:rPr>
          <w:rFonts w:cs="Times New Roman"/>
          <w:szCs w:val="24"/>
        </w:rPr>
        <w:t>s productivas en estos términos</w:t>
      </w:r>
      <w:r w:rsidR="000E5A5E">
        <w:rPr>
          <w:rFonts w:cs="Times New Roman"/>
          <w:szCs w:val="24"/>
        </w:rPr>
        <w:t xml:space="preserve"> son justamente aquellas en las cuales el hambre afecta con mayor crudeza. Resáltese que en el año de cosecha </w:t>
      </w:r>
      <w:r w:rsidR="00B20980">
        <w:rPr>
          <w:rFonts w:cs="Times New Roman"/>
          <w:szCs w:val="24"/>
        </w:rPr>
        <w:t>récord</w:t>
      </w:r>
      <w:r w:rsidR="000E5A5E">
        <w:rPr>
          <w:rFonts w:cs="Times New Roman"/>
          <w:szCs w:val="24"/>
        </w:rPr>
        <w:t xml:space="preserve"> de producción de oleaginosas</w:t>
      </w:r>
      <w:r w:rsidR="00B20980">
        <w:rPr>
          <w:rFonts w:cs="Times New Roman"/>
          <w:szCs w:val="24"/>
        </w:rPr>
        <w:t xml:space="preserve"> y granos, se verificó tambié</w:t>
      </w:r>
      <w:r w:rsidR="00251D2D">
        <w:rPr>
          <w:rFonts w:cs="Times New Roman"/>
          <w:szCs w:val="24"/>
        </w:rPr>
        <w:t>n uno</w:t>
      </w:r>
      <w:r w:rsidR="000E5A5E">
        <w:rPr>
          <w:rFonts w:cs="Times New Roman"/>
          <w:szCs w:val="24"/>
        </w:rPr>
        <w:t xml:space="preserve"> en materia de </w:t>
      </w:r>
      <w:r w:rsidR="00B20980">
        <w:rPr>
          <w:rFonts w:cs="Times New Roman"/>
          <w:szCs w:val="24"/>
        </w:rPr>
        <w:t>pobreza e indigencia, revelando cuáles pueden ser los efectos de la obscena desigualdad como resultado de la apropiación privada de la renta agrícola. Otra de las zonas extractivas del territorio nacional también viene</w:t>
      </w:r>
      <w:r w:rsidR="00BF5660">
        <w:rPr>
          <w:rFonts w:cs="Times New Roman"/>
          <w:szCs w:val="24"/>
        </w:rPr>
        <w:t xml:space="preserve"> contribuyendo decisivamente en la aceleración del proceso de empobrecimiento: la región patagónica vinculada </w:t>
      </w:r>
      <w:r w:rsidR="00251D2D">
        <w:rPr>
          <w:rFonts w:cs="Times New Roman"/>
          <w:szCs w:val="24"/>
        </w:rPr>
        <w:t xml:space="preserve">al </w:t>
      </w:r>
      <w:r w:rsidR="00BF5660">
        <w:rPr>
          <w:rFonts w:cs="Times New Roman"/>
          <w:szCs w:val="24"/>
        </w:rPr>
        <w:t>complejo petrolero.</w:t>
      </w:r>
      <w:r w:rsidR="007F6F32">
        <w:rPr>
          <w:rFonts w:cs="Times New Roman"/>
          <w:szCs w:val="24"/>
        </w:rPr>
        <w:t xml:space="preserve"> La combinación de rasgos estructu</w:t>
      </w:r>
      <w:r w:rsidR="00BF5660">
        <w:rPr>
          <w:rFonts w:cs="Times New Roman"/>
          <w:szCs w:val="24"/>
        </w:rPr>
        <w:t>rales con una coyuntura de crisi</w:t>
      </w:r>
      <w:r w:rsidR="007F6F32">
        <w:rPr>
          <w:rFonts w:cs="Times New Roman"/>
          <w:szCs w:val="24"/>
        </w:rPr>
        <w:t xml:space="preserve">s y sobreendeudamiento de los gobiernos provinciales </w:t>
      </w:r>
      <w:r w:rsidR="00BF5660">
        <w:rPr>
          <w:rFonts w:cs="Times New Roman"/>
          <w:szCs w:val="24"/>
        </w:rPr>
        <w:t xml:space="preserve">terminó por incorporar a </w:t>
      </w:r>
      <w:r w:rsidR="00FB7338" w:rsidRPr="00EE66FA">
        <w:rPr>
          <w:rFonts w:cs="Times New Roman"/>
          <w:szCs w:val="24"/>
        </w:rPr>
        <w:t>la zona austral</w:t>
      </w:r>
      <w:r w:rsidR="000E5A5E">
        <w:rPr>
          <w:rFonts w:cs="Times New Roman"/>
          <w:szCs w:val="24"/>
        </w:rPr>
        <w:t xml:space="preserve"> </w:t>
      </w:r>
      <w:r w:rsidR="00BF5660">
        <w:rPr>
          <w:rFonts w:cs="Times New Roman"/>
          <w:szCs w:val="24"/>
        </w:rPr>
        <w:t xml:space="preserve">dentro del grupo de jurisdicciones que precisan respuestas urgentes. </w:t>
      </w:r>
    </w:p>
    <w:p w:rsidR="00BF5660" w:rsidRDefault="00BF5660" w:rsidP="00BA6AF1">
      <w:pPr>
        <w:spacing w:after="0"/>
        <w:ind w:firstLine="708"/>
        <w:jc w:val="both"/>
        <w:rPr>
          <w:rFonts w:cs="Times New Roman"/>
          <w:szCs w:val="24"/>
        </w:rPr>
      </w:pPr>
    </w:p>
    <w:p w:rsidR="00BA6AF1" w:rsidRDefault="007F6F32" w:rsidP="00BA6AF1">
      <w:pPr>
        <w:spacing w:after="0"/>
        <w:ind w:firstLine="708"/>
        <w:jc w:val="both"/>
        <w:rPr>
          <w:b/>
          <w:i/>
          <w:sz w:val="24"/>
        </w:rPr>
      </w:pPr>
      <w:r>
        <w:rPr>
          <w:rFonts w:cs="Times New Roman"/>
          <w:szCs w:val="24"/>
        </w:rPr>
        <w:t xml:space="preserve">Por </w:t>
      </w:r>
      <w:r w:rsidR="00BF5660">
        <w:rPr>
          <w:rFonts w:cs="Times New Roman"/>
          <w:szCs w:val="24"/>
        </w:rPr>
        <w:t>último</w:t>
      </w:r>
      <w:r>
        <w:rPr>
          <w:rFonts w:cs="Times New Roman"/>
          <w:szCs w:val="24"/>
        </w:rPr>
        <w:t xml:space="preserve">, </w:t>
      </w:r>
      <w:r w:rsidR="00BF5660">
        <w:rPr>
          <w:rFonts w:cs="Times New Roman"/>
          <w:szCs w:val="24"/>
        </w:rPr>
        <w:t xml:space="preserve"> l</w:t>
      </w:r>
      <w:r w:rsidR="00542495" w:rsidRPr="00EE66FA">
        <w:rPr>
          <w:rFonts w:cs="Times New Roman"/>
          <w:szCs w:val="24"/>
        </w:rPr>
        <w:t>a infantilización de la pobreza</w:t>
      </w:r>
      <w:r w:rsidR="00BA6AF1">
        <w:rPr>
          <w:rFonts w:cs="Times New Roman"/>
          <w:szCs w:val="24"/>
        </w:rPr>
        <w:t xml:space="preserve"> y el hambre</w:t>
      </w:r>
      <w:r w:rsidR="00542495" w:rsidRPr="00EE66FA">
        <w:rPr>
          <w:rFonts w:cs="Times New Roman"/>
          <w:szCs w:val="24"/>
        </w:rPr>
        <w:t xml:space="preserve"> </w:t>
      </w:r>
      <w:r w:rsidR="007A6417" w:rsidRPr="00EE66FA">
        <w:rPr>
          <w:rFonts w:cs="Times New Roman"/>
          <w:szCs w:val="24"/>
        </w:rPr>
        <w:t xml:space="preserve">es </w:t>
      </w:r>
      <w:r w:rsidR="007C4747">
        <w:rPr>
          <w:rFonts w:cs="Times New Roman"/>
          <w:szCs w:val="24"/>
        </w:rPr>
        <w:t>el</w:t>
      </w:r>
      <w:r w:rsidR="007A6417" w:rsidRPr="00EE66FA">
        <w:rPr>
          <w:rFonts w:cs="Times New Roman"/>
          <w:szCs w:val="24"/>
        </w:rPr>
        <w:t xml:space="preserve"> rasgo fundamental que</w:t>
      </w:r>
      <w:r w:rsidR="007C4747">
        <w:rPr>
          <w:rFonts w:cs="Times New Roman"/>
          <w:szCs w:val="24"/>
        </w:rPr>
        <w:t>, no obstante la inmoralidad que esto implica,</w:t>
      </w:r>
      <w:r w:rsidR="007A6417" w:rsidRPr="00EE66FA">
        <w:rPr>
          <w:rFonts w:cs="Times New Roman"/>
          <w:szCs w:val="24"/>
        </w:rPr>
        <w:t xml:space="preserve"> ofrece una puerta de entrada para abordar de manera efectiva la situación</w:t>
      </w:r>
      <w:r w:rsidR="00BA6AF1">
        <w:rPr>
          <w:rFonts w:cs="Times New Roman"/>
          <w:szCs w:val="24"/>
        </w:rPr>
        <w:t xml:space="preserve"> </w:t>
      </w:r>
      <w:r w:rsidR="007C4747">
        <w:rPr>
          <w:rFonts w:cs="Times New Roman"/>
          <w:szCs w:val="24"/>
        </w:rPr>
        <w:t>a través de programas de</w:t>
      </w:r>
      <w:r w:rsidR="00BA6AF1" w:rsidRPr="00EE66FA">
        <w:rPr>
          <w:rFonts w:cs="Times New Roman"/>
          <w:szCs w:val="24"/>
        </w:rPr>
        <w:t xml:space="preserve"> tra</w:t>
      </w:r>
      <w:r w:rsidR="007C4747">
        <w:rPr>
          <w:rFonts w:cs="Times New Roman"/>
          <w:szCs w:val="24"/>
        </w:rPr>
        <w:t>nsferencia de ingresos destinados</w:t>
      </w:r>
      <w:r w:rsidR="00BA6AF1" w:rsidRPr="00EE66FA">
        <w:rPr>
          <w:rFonts w:cs="Times New Roman"/>
          <w:szCs w:val="24"/>
        </w:rPr>
        <w:t xml:space="preserve"> a</w:t>
      </w:r>
      <w:r w:rsidR="007C4747">
        <w:rPr>
          <w:rFonts w:cs="Times New Roman"/>
          <w:szCs w:val="24"/>
        </w:rPr>
        <w:t xml:space="preserve"> la población infanto-juvenil, universales, de calidad y </w:t>
      </w:r>
      <w:r w:rsidR="000D0515">
        <w:rPr>
          <w:rFonts w:cs="Times New Roman"/>
          <w:szCs w:val="24"/>
        </w:rPr>
        <w:t>articulados con</w:t>
      </w:r>
      <w:r w:rsidR="007C4747">
        <w:rPr>
          <w:rFonts w:cs="Times New Roman"/>
          <w:szCs w:val="24"/>
        </w:rPr>
        <w:t xml:space="preserve"> un circuito de producción </w:t>
      </w:r>
      <w:r w:rsidR="000D0515">
        <w:rPr>
          <w:rFonts w:cs="Times New Roman"/>
          <w:szCs w:val="24"/>
        </w:rPr>
        <w:t xml:space="preserve">y oferta que atienda las necesidades de la demanda popular. </w:t>
      </w:r>
      <w:r w:rsidR="007C4747">
        <w:rPr>
          <w:rFonts w:cs="Times New Roman"/>
          <w:szCs w:val="24"/>
        </w:rPr>
        <w:t xml:space="preserve"> </w:t>
      </w:r>
    </w:p>
    <w:p w:rsidR="002B1886" w:rsidRPr="00804594" w:rsidRDefault="00EE66FA" w:rsidP="00B00A7F">
      <w:pPr>
        <w:jc w:val="both"/>
        <w:rPr>
          <w:b/>
          <w:i/>
          <w:sz w:val="24"/>
        </w:rPr>
      </w:pPr>
      <w:r>
        <w:rPr>
          <w:b/>
          <w:i/>
          <w:sz w:val="24"/>
        </w:rPr>
        <w:br w:type="page"/>
      </w:r>
      <w:r w:rsidR="00B00A7F">
        <w:rPr>
          <w:b/>
          <w:i/>
          <w:sz w:val="24"/>
        </w:rPr>
        <w:t>L</w:t>
      </w:r>
      <w:r w:rsidR="002B1886" w:rsidRPr="00804594">
        <w:rPr>
          <w:b/>
          <w:i/>
          <w:sz w:val="24"/>
        </w:rPr>
        <w:t>a extensión territorial de la pobreza: un pantallazo a nivel provincial</w:t>
      </w:r>
      <w:r w:rsidR="00AF7D19" w:rsidRPr="00804594">
        <w:rPr>
          <w:b/>
          <w:i/>
          <w:sz w:val="24"/>
        </w:rPr>
        <w:t>.</w:t>
      </w:r>
    </w:p>
    <w:p w:rsidR="00693998" w:rsidRPr="00251D2D" w:rsidRDefault="00693998" w:rsidP="005E34B4">
      <w:pPr>
        <w:spacing w:after="0"/>
        <w:jc w:val="both"/>
        <w:rPr>
          <w:rFonts w:cs="Times New Roman"/>
        </w:rPr>
      </w:pPr>
    </w:p>
    <w:p w:rsidR="007130FB" w:rsidRPr="00251D2D" w:rsidRDefault="003B1CDD" w:rsidP="001425C7">
      <w:pPr>
        <w:spacing w:after="0"/>
        <w:ind w:firstLine="708"/>
        <w:jc w:val="both"/>
        <w:rPr>
          <w:rFonts w:cs="Times New Roman"/>
        </w:rPr>
      </w:pPr>
      <w:r w:rsidRPr="00251D2D">
        <w:rPr>
          <w:rFonts w:cs="Times New Roman"/>
        </w:rPr>
        <w:t>T</w:t>
      </w:r>
      <w:r w:rsidR="005E34B4" w:rsidRPr="00251D2D">
        <w:rPr>
          <w:rFonts w:cs="Times New Roman"/>
        </w:rPr>
        <w:t xml:space="preserve">al como </w:t>
      </w:r>
      <w:r w:rsidR="002F2851" w:rsidRPr="00251D2D">
        <w:rPr>
          <w:rFonts w:cs="Times New Roman"/>
        </w:rPr>
        <w:t xml:space="preserve">se </w:t>
      </w:r>
      <w:r w:rsidR="00DE187B" w:rsidRPr="00251D2D">
        <w:rPr>
          <w:rFonts w:cs="Times New Roman"/>
        </w:rPr>
        <w:t>señaló</w:t>
      </w:r>
      <w:r w:rsidR="002F2851" w:rsidRPr="00251D2D">
        <w:rPr>
          <w:rFonts w:cs="Times New Roman"/>
        </w:rPr>
        <w:t xml:space="preserve"> en el material recientemente publicado</w:t>
      </w:r>
      <w:r w:rsidR="00770A9A" w:rsidRPr="00251D2D">
        <w:rPr>
          <w:rFonts w:cs="Times New Roman"/>
        </w:rPr>
        <w:t>,</w:t>
      </w:r>
      <w:r w:rsidR="00393A67" w:rsidRPr="00251D2D">
        <w:rPr>
          <w:rFonts w:cs="Times New Roman"/>
        </w:rPr>
        <w:t xml:space="preserve"> </w:t>
      </w:r>
      <w:r w:rsidR="005E34B4" w:rsidRPr="00251D2D">
        <w:rPr>
          <w:rFonts w:cs="Times New Roman"/>
        </w:rPr>
        <w:t>las tasas de pobreza e indigencia</w:t>
      </w:r>
      <w:r w:rsidR="00BA6AF1" w:rsidRPr="00251D2D">
        <w:rPr>
          <w:rFonts w:cs="Times New Roman"/>
        </w:rPr>
        <w:t xml:space="preserve"> </w:t>
      </w:r>
      <w:r w:rsidR="00B01EFC" w:rsidRPr="00251D2D">
        <w:rPr>
          <w:rFonts w:cs="Times New Roman"/>
        </w:rPr>
        <w:t xml:space="preserve">para el </w:t>
      </w:r>
      <w:r w:rsidR="00875E02" w:rsidRPr="00251D2D">
        <w:rPr>
          <w:rFonts w:cs="Times New Roman"/>
        </w:rPr>
        <w:t>2do</w:t>
      </w:r>
      <w:r w:rsidR="00B01EFC" w:rsidRPr="00251D2D">
        <w:rPr>
          <w:rFonts w:cs="Times New Roman"/>
        </w:rPr>
        <w:t xml:space="preserve"> </w:t>
      </w:r>
      <w:r w:rsidR="00875E02" w:rsidRPr="00251D2D">
        <w:rPr>
          <w:rFonts w:cs="Times New Roman"/>
        </w:rPr>
        <w:t>trimestre</w:t>
      </w:r>
      <w:r w:rsidR="00B01EFC" w:rsidRPr="00251D2D">
        <w:rPr>
          <w:rFonts w:cs="Times New Roman"/>
        </w:rPr>
        <w:t xml:space="preserve"> 2019</w:t>
      </w:r>
      <w:r w:rsidR="00D949ED" w:rsidRPr="00251D2D">
        <w:rPr>
          <w:rStyle w:val="Refdenotaalpie"/>
          <w:rFonts w:cs="Times New Roman"/>
        </w:rPr>
        <w:footnoteReference w:id="2"/>
      </w:r>
      <w:r w:rsidR="00BA6AF1" w:rsidRPr="00251D2D">
        <w:rPr>
          <w:rFonts w:cs="Times New Roman"/>
        </w:rPr>
        <w:t xml:space="preserve"> </w:t>
      </w:r>
      <w:r w:rsidR="00875E02" w:rsidRPr="00251D2D">
        <w:rPr>
          <w:rFonts w:cs="Times New Roman"/>
        </w:rPr>
        <w:t>son</w:t>
      </w:r>
      <w:r w:rsidR="00770A9A" w:rsidRPr="00251D2D">
        <w:rPr>
          <w:rFonts w:cs="Times New Roman"/>
        </w:rPr>
        <w:t xml:space="preserve"> del</w:t>
      </w:r>
      <w:r w:rsidR="00422FEB" w:rsidRPr="00251D2D">
        <w:rPr>
          <w:rFonts w:cs="Times New Roman"/>
        </w:rPr>
        <w:t xml:space="preserve"> </w:t>
      </w:r>
      <w:r w:rsidR="00875E02" w:rsidRPr="00251D2D">
        <w:rPr>
          <w:rFonts w:cs="Times New Roman"/>
          <w:b/>
        </w:rPr>
        <w:t>36,7</w:t>
      </w:r>
      <w:r w:rsidR="002F2851" w:rsidRPr="00251D2D">
        <w:rPr>
          <w:rFonts w:cs="Times New Roman"/>
          <w:b/>
        </w:rPr>
        <w:t>%</w:t>
      </w:r>
      <w:r w:rsidR="002F2851" w:rsidRPr="00251D2D">
        <w:rPr>
          <w:rFonts w:cs="Times New Roman"/>
        </w:rPr>
        <w:t xml:space="preserve"> y </w:t>
      </w:r>
      <w:r w:rsidR="00770A9A" w:rsidRPr="00251D2D">
        <w:rPr>
          <w:rFonts w:cs="Times New Roman"/>
        </w:rPr>
        <w:t>del</w:t>
      </w:r>
      <w:r w:rsidR="001425C7" w:rsidRPr="00251D2D">
        <w:rPr>
          <w:rFonts w:cs="Times New Roman"/>
        </w:rPr>
        <w:t xml:space="preserve"> </w:t>
      </w:r>
      <w:r w:rsidR="00875E02" w:rsidRPr="00251D2D">
        <w:rPr>
          <w:rFonts w:cs="Times New Roman"/>
          <w:b/>
        </w:rPr>
        <w:t>8,6</w:t>
      </w:r>
      <w:r w:rsidR="002F2851" w:rsidRPr="00251D2D">
        <w:rPr>
          <w:rFonts w:cs="Times New Roman"/>
          <w:b/>
        </w:rPr>
        <w:t>%</w:t>
      </w:r>
      <w:r w:rsidR="00DB2105" w:rsidRPr="00251D2D">
        <w:rPr>
          <w:rFonts w:cs="Times New Roman"/>
        </w:rPr>
        <w:t xml:space="preserve">, </w:t>
      </w:r>
      <w:r w:rsidR="00770A9A" w:rsidRPr="00251D2D">
        <w:rPr>
          <w:rFonts w:cs="Times New Roman"/>
        </w:rPr>
        <w:t xml:space="preserve">respectivamente. </w:t>
      </w:r>
      <w:r w:rsidR="00AE7BCD" w:rsidRPr="00251D2D">
        <w:rPr>
          <w:rFonts w:cs="Times New Roman"/>
        </w:rPr>
        <w:t>Estos niveles implican que</w:t>
      </w:r>
      <w:r w:rsidR="00484F33" w:rsidRPr="00251D2D">
        <w:rPr>
          <w:rFonts w:cs="Times New Roman"/>
        </w:rPr>
        <w:t>,</w:t>
      </w:r>
      <w:r w:rsidR="00AE7BCD" w:rsidRPr="00251D2D">
        <w:rPr>
          <w:rFonts w:cs="Times New Roman"/>
        </w:rPr>
        <w:t xml:space="preserve"> si consideramos </w:t>
      </w:r>
      <w:r w:rsidR="00484F33" w:rsidRPr="00251D2D">
        <w:rPr>
          <w:rFonts w:cs="Times New Roman"/>
        </w:rPr>
        <w:t>como extensible</w:t>
      </w:r>
      <w:r w:rsidR="00AE7BCD" w:rsidRPr="00251D2D">
        <w:rPr>
          <w:rFonts w:cs="Times New Roman"/>
        </w:rPr>
        <w:t xml:space="preserve"> los valores publicados por la EPH correspondiente a las áreas urbanas</w:t>
      </w:r>
      <w:r w:rsidR="00484F33" w:rsidRPr="00251D2D">
        <w:rPr>
          <w:rFonts w:cs="Times New Roman"/>
        </w:rPr>
        <w:t xml:space="preserve"> para la población total, se verifica un total </w:t>
      </w:r>
      <w:r w:rsidR="00044541" w:rsidRPr="00251D2D">
        <w:rPr>
          <w:rFonts w:cs="Times New Roman"/>
        </w:rPr>
        <w:t xml:space="preserve">de </w:t>
      </w:r>
      <w:r w:rsidR="00875E02" w:rsidRPr="00251D2D">
        <w:rPr>
          <w:rFonts w:ascii="Calibri" w:eastAsia="Times New Roman" w:hAnsi="Calibri" w:cs="Calibri"/>
          <w:b/>
          <w:bCs/>
          <w:color w:val="000000"/>
          <w:lang w:eastAsia="es-ES"/>
        </w:rPr>
        <w:t xml:space="preserve">16.496.256 </w:t>
      </w:r>
      <w:r w:rsidR="006E6C3C" w:rsidRPr="00251D2D">
        <w:rPr>
          <w:rFonts w:cs="Times New Roman"/>
        </w:rPr>
        <w:t xml:space="preserve">de personas </w:t>
      </w:r>
      <w:r w:rsidR="00484F33" w:rsidRPr="00251D2D">
        <w:rPr>
          <w:rFonts w:cs="Times New Roman"/>
        </w:rPr>
        <w:t xml:space="preserve">pobres </w:t>
      </w:r>
      <w:r w:rsidR="006E6C3C" w:rsidRPr="00251D2D">
        <w:rPr>
          <w:rFonts w:cs="Times New Roman"/>
        </w:rPr>
        <w:t xml:space="preserve">y </w:t>
      </w:r>
      <w:r w:rsidR="00875E02" w:rsidRPr="00251D2D">
        <w:rPr>
          <w:rFonts w:ascii="Calibri" w:eastAsia="Times New Roman" w:hAnsi="Calibri" w:cs="Calibri"/>
          <w:b/>
          <w:bCs/>
          <w:color w:val="000000"/>
          <w:lang w:eastAsia="es-ES"/>
        </w:rPr>
        <w:t xml:space="preserve">3.722.125 </w:t>
      </w:r>
      <w:r w:rsidR="006E6C3C" w:rsidRPr="00251D2D">
        <w:rPr>
          <w:rFonts w:cs="Times New Roman"/>
        </w:rPr>
        <w:t>indigentes</w:t>
      </w:r>
      <w:r w:rsidR="002F2851" w:rsidRPr="00251D2D">
        <w:rPr>
          <w:rFonts w:cs="Times New Roman"/>
        </w:rPr>
        <w:t xml:space="preserve">. </w:t>
      </w:r>
    </w:p>
    <w:p w:rsidR="003B1CDD" w:rsidRPr="00251D2D" w:rsidRDefault="003B1CDD" w:rsidP="005E34B4">
      <w:pPr>
        <w:spacing w:after="0"/>
        <w:jc w:val="both"/>
        <w:rPr>
          <w:rFonts w:cs="Times New Roman"/>
        </w:rPr>
      </w:pPr>
    </w:p>
    <w:p w:rsidR="00884046" w:rsidRPr="00251D2D" w:rsidRDefault="007130FB" w:rsidP="005E34B4">
      <w:pPr>
        <w:spacing w:after="0"/>
        <w:jc w:val="both"/>
        <w:rPr>
          <w:rFonts w:cs="Times New Roman"/>
        </w:rPr>
      </w:pPr>
      <w:r w:rsidRPr="00251D2D">
        <w:rPr>
          <w:rFonts w:cs="Times New Roman"/>
        </w:rPr>
        <w:tab/>
        <w:t>Ahora bien, la</w:t>
      </w:r>
      <w:r w:rsidR="00C34F84" w:rsidRPr="00251D2D">
        <w:rPr>
          <w:rFonts w:cs="Times New Roman"/>
        </w:rPr>
        <w:t>s</w:t>
      </w:r>
      <w:r w:rsidRPr="00251D2D">
        <w:rPr>
          <w:rFonts w:cs="Times New Roman"/>
        </w:rPr>
        <w:t xml:space="preserve"> tasa</w:t>
      </w:r>
      <w:r w:rsidR="00C34F84" w:rsidRPr="00251D2D">
        <w:rPr>
          <w:rFonts w:cs="Times New Roman"/>
        </w:rPr>
        <w:t>s</w:t>
      </w:r>
      <w:r w:rsidR="00BA6AF1" w:rsidRPr="00251D2D">
        <w:rPr>
          <w:rFonts w:cs="Times New Roman"/>
        </w:rPr>
        <w:t xml:space="preserve"> </w:t>
      </w:r>
      <w:r w:rsidR="00C34F84" w:rsidRPr="00251D2D">
        <w:rPr>
          <w:rFonts w:cs="Times New Roman"/>
        </w:rPr>
        <w:t>publicadas representan la media nacional y</w:t>
      </w:r>
      <w:r w:rsidR="004A55CF" w:rsidRPr="00251D2D">
        <w:rPr>
          <w:rFonts w:cs="Times New Roman"/>
        </w:rPr>
        <w:t>, como tal,</w:t>
      </w:r>
      <w:r w:rsidR="00C34F84" w:rsidRPr="00251D2D">
        <w:rPr>
          <w:rFonts w:cs="Times New Roman"/>
        </w:rPr>
        <w:t xml:space="preserve"> sintetizan en un indicador realidad</w:t>
      </w:r>
      <w:r w:rsidR="00F92120" w:rsidRPr="00251D2D">
        <w:rPr>
          <w:rFonts w:cs="Times New Roman"/>
        </w:rPr>
        <w:t>es provinciales</w:t>
      </w:r>
      <w:r w:rsidR="00C34F84" w:rsidRPr="00251D2D">
        <w:rPr>
          <w:rFonts w:cs="Times New Roman"/>
        </w:rPr>
        <w:t xml:space="preserve"> heterogénea</w:t>
      </w:r>
      <w:r w:rsidR="00F92120" w:rsidRPr="00251D2D">
        <w:rPr>
          <w:rFonts w:cs="Times New Roman"/>
        </w:rPr>
        <w:t>s</w:t>
      </w:r>
      <w:r w:rsidR="00C34F84" w:rsidRPr="00251D2D">
        <w:rPr>
          <w:rFonts w:cs="Times New Roman"/>
        </w:rPr>
        <w:t xml:space="preserve">. </w:t>
      </w:r>
      <w:r w:rsidR="004A55CF" w:rsidRPr="00251D2D">
        <w:rPr>
          <w:rFonts w:cs="Times New Roman"/>
        </w:rPr>
        <w:t>Conviene precisar que la unidad de análisis del territorio para EPH-INDEC son</w:t>
      </w:r>
      <w:r w:rsidRPr="00251D2D">
        <w:rPr>
          <w:rFonts w:cs="Times New Roman"/>
        </w:rPr>
        <w:t xml:space="preserve"> los aglomerados urbanos,</w:t>
      </w:r>
      <w:r w:rsidR="004A55CF" w:rsidRPr="00251D2D">
        <w:rPr>
          <w:rFonts w:cs="Times New Roman"/>
        </w:rPr>
        <w:t xml:space="preserve"> conforme a su carácter mercados de trabajos únicos, aunque en esta ocasión favoreceremos una presentación provincial asumiendo que la realidad del aglomerado urbano</w:t>
      </w:r>
      <w:r w:rsidR="00B94588" w:rsidRPr="00251D2D">
        <w:rPr>
          <w:rFonts w:cs="Times New Roman"/>
        </w:rPr>
        <w:t xml:space="preserve"> más importante (</w:t>
      </w:r>
      <w:r w:rsidR="00786B06" w:rsidRPr="00251D2D">
        <w:rPr>
          <w:rFonts w:cs="Times New Roman"/>
        </w:rPr>
        <w:t>o</w:t>
      </w:r>
      <w:r w:rsidR="00B94588" w:rsidRPr="00251D2D">
        <w:rPr>
          <w:rFonts w:cs="Times New Roman"/>
        </w:rPr>
        <w:t xml:space="preserve"> de los aglomerados urbanos, cuando haya más de uno)</w:t>
      </w:r>
      <w:r w:rsidR="00D30730" w:rsidRPr="00251D2D">
        <w:rPr>
          <w:rFonts w:cs="Times New Roman"/>
        </w:rPr>
        <w:t xml:space="preserve"> </w:t>
      </w:r>
      <w:r w:rsidR="00F92120" w:rsidRPr="00251D2D">
        <w:rPr>
          <w:rFonts w:cs="Times New Roman"/>
        </w:rPr>
        <w:t>refleja</w:t>
      </w:r>
      <w:r w:rsidR="00B94588" w:rsidRPr="00251D2D">
        <w:rPr>
          <w:rFonts w:cs="Times New Roman"/>
        </w:rPr>
        <w:t xml:space="preserve"> la situación de la provincia a la cual pertenece, lo cual resulta un supuesto por demás optimista</w:t>
      </w:r>
      <w:r w:rsidR="009C72EF" w:rsidRPr="00251D2D">
        <w:rPr>
          <w:rFonts w:cs="Times New Roman"/>
        </w:rPr>
        <w:t xml:space="preserve">. </w:t>
      </w:r>
    </w:p>
    <w:p w:rsidR="00884046" w:rsidRPr="00251D2D" w:rsidRDefault="00884046" w:rsidP="005E34B4">
      <w:pPr>
        <w:spacing w:after="0"/>
        <w:jc w:val="both"/>
        <w:rPr>
          <w:rFonts w:cs="Times New Roman"/>
        </w:rPr>
      </w:pPr>
    </w:p>
    <w:p w:rsidR="00875E02" w:rsidRPr="00251D2D" w:rsidRDefault="006C4437" w:rsidP="00E31691">
      <w:pPr>
        <w:spacing w:after="0"/>
        <w:jc w:val="both"/>
        <w:rPr>
          <w:rFonts w:cs="Times New Roman"/>
        </w:rPr>
      </w:pPr>
      <w:r w:rsidRPr="00251D2D">
        <w:rPr>
          <w:rFonts w:cs="Times New Roman"/>
        </w:rPr>
        <w:tab/>
      </w:r>
      <w:r w:rsidR="004064AC" w:rsidRPr="00251D2D">
        <w:rPr>
          <w:rFonts w:cs="Times New Roman"/>
        </w:rPr>
        <w:t>L</w:t>
      </w:r>
      <w:r w:rsidR="00E81CFC" w:rsidRPr="00251D2D">
        <w:rPr>
          <w:rFonts w:cs="Times New Roman"/>
        </w:rPr>
        <w:t>a radiografía provincial</w:t>
      </w:r>
      <w:r w:rsidR="0078169D" w:rsidRPr="00251D2D">
        <w:rPr>
          <w:rFonts w:cs="Times New Roman"/>
        </w:rPr>
        <w:t xml:space="preserve"> </w:t>
      </w:r>
      <w:r w:rsidR="00CA44E6" w:rsidRPr="00251D2D">
        <w:rPr>
          <w:rFonts w:cs="Times New Roman"/>
        </w:rPr>
        <w:t xml:space="preserve">al segundo trimestre 2019 </w:t>
      </w:r>
      <w:r w:rsidR="00875E02" w:rsidRPr="00251D2D">
        <w:rPr>
          <w:rFonts w:cs="Times New Roman"/>
        </w:rPr>
        <w:t>permite verificar la presencia de un escenario generalizado de pauperización en las condiciones materiales de vida en un conjunto no menor de provincias (17 jurisdicciones tienen tasas de pobreza superiores al promedio nacional) que contiene expresiones locales que encienden mayores alarmas</w:t>
      </w:r>
      <w:r w:rsidR="0078169D" w:rsidRPr="00251D2D">
        <w:rPr>
          <w:rFonts w:cs="Times New Roman"/>
        </w:rPr>
        <w:t>. Sobresalen</w:t>
      </w:r>
      <w:r w:rsidR="00875E02" w:rsidRPr="00251D2D">
        <w:rPr>
          <w:rFonts w:cs="Times New Roman"/>
        </w:rPr>
        <w:t xml:space="preserve"> en este sentido</w:t>
      </w:r>
      <w:r w:rsidR="0078169D" w:rsidRPr="00251D2D">
        <w:rPr>
          <w:rFonts w:cs="Times New Roman"/>
        </w:rPr>
        <w:t xml:space="preserve"> provincias</w:t>
      </w:r>
      <w:r w:rsidR="00CA44E6" w:rsidRPr="00251D2D">
        <w:rPr>
          <w:rFonts w:cs="Times New Roman"/>
        </w:rPr>
        <w:t xml:space="preserve"> del NOA y el NEA argentino</w:t>
      </w:r>
      <w:r w:rsidR="0078169D" w:rsidRPr="00251D2D">
        <w:rPr>
          <w:rFonts w:cs="Times New Roman"/>
        </w:rPr>
        <w:t xml:space="preserve"> tales como</w:t>
      </w:r>
      <w:r w:rsidR="00422281" w:rsidRPr="00251D2D">
        <w:rPr>
          <w:rFonts w:cs="Times New Roman"/>
        </w:rPr>
        <w:t xml:space="preserve"> Santiago del Estero (46,1%), Chaco (45,1%), Catamarca (45,1%), Tucumán (44,1%), Salta (43,4%), Corrientes (42,8%) y Entre Ríos (42,3%)</w:t>
      </w:r>
      <w:r w:rsidR="00875E02" w:rsidRPr="00251D2D">
        <w:rPr>
          <w:rFonts w:cs="Times New Roman"/>
        </w:rPr>
        <w:t>.</w:t>
      </w:r>
    </w:p>
    <w:p w:rsidR="00CA44E6" w:rsidRPr="00251D2D" w:rsidRDefault="00CA44E6" w:rsidP="00875E02">
      <w:pPr>
        <w:spacing w:after="0"/>
        <w:jc w:val="both"/>
        <w:rPr>
          <w:rFonts w:cs="Times New Roman"/>
        </w:rPr>
      </w:pPr>
    </w:p>
    <w:p w:rsidR="00875E02" w:rsidRDefault="00875E02" w:rsidP="00CA44E6">
      <w:pPr>
        <w:spacing w:after="0"/>
        <w:ind w:firstLine="708"/>
        <w:jc w:val="both"/>
        <w:rPr>
          <w:rFonts w:cs="Times New Roman"/>
          <w:szCs w:val="24"/>
        </w:rPr>
      </w:pPr>
      <w:r w:rsidRPr="00251D2D">
        <w:rPr>
          <w:rFonts w:cs="Times New Roman"/>
        </w:rPr>
        <w:t xml:space="preserve">En cuanto a la indigencia, el número que sobrepasa el promedio es de </w:t>
      </w:r>
      <w:r w:rsidR="00477689" w:rsidRPr="00251D2D">
        <w:rPr>
          <w:rFonts w:cs="Times New Roman"/>
        </w:rPr>
        <w:t>siete provincias</w:t>
      </w:r>
      <w:r w:rsidR="00477689" w:rsidRPr="00CA44E6">
        <w:rPr>
          <w:rFonts w:cs="Times New Roman"/>
          <w:szCs w:val="24"/>
        </w:rPr>
        <w:t xml:space="preserve"> de las cuales se destacan cinco</w:t>
      </w:r>
      <w:r w:rsidR="00251D2D">
        <w:rPr>
          <w:rFonts w:cs="Times New Roman"/>
          <w:szCs w:val="24"/>
        </w:rPr>
        <w:t xml:space="preserve">, </w:t>
      </w:r>
      <w:r w:rsidR="0061480A">
        <w:rPr>
          <w:rFonts w:cs="Times New Roman"/>
          <w:szCs w:val="24"/>
        </w:rPr>
        <w:t>donde</w:t>
      </w:r>
      <w:r w:rsidRPr="00CA44E6">
        <w:rPr>
          <w:rFonts w:cs="Times New Roman"/>
          <w:szCs w:val="24"/>
        </w:rPr>
        <w:t xml:space="preserve"> la incidencia del hambre supera los dos dígitos</w:t>
      </w:r>
      <w:r w:rsidR="00477689" w:rsidRPr="00CA44E6">
        <w:rPr>
          <w:rFonts w:cs="Times New Roman"/>
          <w:szCs w:val="24"/>
        </w:rPr>
        <w:t xml:space="preserve">: </w:t>
      </w:r>
      <w:r w:rsidR="00F51BA9" w:rsidRPr="00CA44E6">
        <w:rPr>
          <w:rFonts w:cs="Times New Roman"/>
        </w:rPr>
        <w:t>Chaco</w:t>
      </w:r>
      <w:r w:rsidR="00F51BA9">
        <w:rPr>
          <w:rFonts w:cs="Times New Roman"/>
        </w:rPr>
        <w:t xml:space="preserve"> </w:t>
      </w:r>
      <w:r w:rsidR="0078169D">
        <w:rPr>
          <w:rFonts w:cs="Times New Roman"/>
        </w:rPr>
        <w:t>(</w:t>
      </w:r>
      <w:r w:rsidR="00F51BA9">
        <w:rPr>
          <w:rFonts w:cs="Times New Roman"/>
        </w:rPr>
        <w:t>16,7%</w:t>
      </w:r>
      <w:r w:rsidR="0078169D">
        <w:rPr>
          <w:rFonts w:cs="Times New Roman"/>
        </w:rPr>
        <w:t>)</w:t>
      </w:r>
      <w:r w:rsidR="00F51BA9">
        <w:rPr>
          <w:rFonts w:cs="Times New Roman"/>
        </w:rPr>
        <w:t xml:space="preserve">, Córdoba </w:t>
      </w:r>
      <w:r w:rsidR="0078169D">
        <w:rPr>
          <w:rFonts w:cs="Times New Roman"/>
        </w:rPr>
        <w:t>(</w:t>
      </w:r>
      <w:r w:rsidR="00F51BA9">
        <w:rPr>
          <w:rFonts w:cs="Times New Roman"/>
        </w:rPr>
        <w:t>11%</w:t>
      </w:r>
      <w:r w:rsidR="0078169D">
        <w:rPr>
          <w:rFonts w:cs="Times New Roman"/>
        </w:rPr>
        <w:t>)</w:t>
      </w:r>
      <w:r w:rsidR="00F51BA9">
        <w:rPr>
          <w:rFonts w:cs="Times New Roman"/>
        </w:rPr>
        <w:t xml:space="preserve">, La Pampa </w:t>
      </w:r>
      <w:r w:rsidR="0078169D">
        <w:rPr>
          <w:rFonts w:cs="Times New Roman"/>
        </w:rPr>
        <w:t>(</w:t>
      </w:r>
      <w:r w:rsidR="00F51BA9">
        <w:rPr>
          <w:rFonts w:cs="Times New Roman"/>
        </w:rPr>
        <w:t>10,8%)</w:t>
      </w:r>
      <w:r w:rsidR="0078169D">
        <w:rPr>
          <w:rFonts w:cs="Times New Roman"/>
        </w:rPr>
        <w:t>,</w:t>
      </w:r>
      <w:r w:rsidR="00CA44E6">
        <w:rPr>
          <w:rFonts w:cs="Times New Roman"/>
        </w:rPr>
        <w:t xml:space="preserve"> Misiones (10,7%) y Corrientes (10,5%)</w:t>
      </w:r>
      <w:r w:rsidR="00F51BA9">
        <w:rPr>
          <w:rFonts w:cs="Times New Roman"/>
        </w:rPr>
        <w:t>.</w:t>
      </w:r>
      <w:r>
        <w:rPr>
          <w:rFonts w:cs="Times New Roman"/>
        </w:rPr>
        <w:t xml:space="preserve"> </w:t>
      </w:r>
      <w:r w:rsidR="00CA44E6" w:rsidRPr="00CA44E6">
        <w:rPr>
          <w:rFonts w:cs="Times New Roman"/>
          <w:szCs w:val="24"/>
        </w:rPr>
        <w:t xml:space="preserve">Vuelve </w:t>
      </w:r>
      <w:r w:rsidR="00F657E3">
        <w:rPr>
          <w:rFonts w:cs="Times New Roman"/>
          <w:szCs w:val="24"/>
        </w:rPr>
        <w:t xml:space="preserve">entonces </w:t>
      </w:r>
      <w:r w:rsidR="00CA44E6" w:rsidRPr="00CA44E6">
        <w:rPr>
          <w:rFonts w:cs="Times New Roman"/>
          <w:szCs w:val="24"/>
        </w:rPr>
        <w:t xml:space="preserve">a quedar de manifiesto </w:t>
      </w:r>
      <w:r w:rsidRPr="00CA44E6">
        <w:rPr>
          <w:rFonts w:cs="Times New Roman"/>
          <w:szCs w:val="24"/>
        </w:rPr>
        <w:t>las menores posibilidades que tiene</w:t>
      </w:r>
      <w:r w:rsidR="00F657E3">
        <w:rPr>
          <w:rFonts w:cs="Times New Roman"/>
          <w:szCs w:val="24"/>
        </w:rPr>
        <w:t xml:space="preserve"> el norte argentino para garantizar</w:t>
      </w:r>
      <w:r w:rsidRPr="00CA44E6">
        <w:rPr>
          <w:rFonts w:cs="Times New Roman"/>
          <w:szCs w:val="24"/>
        </w:rPr>
        <w:t xml:space="preserve"> condiciones </w:t>
      </w:r>
      <w:r w:rsidR="00F657E3">
        <w:rPr>
          <w:rFonts w:cs="Times New Roman"/>
          <w:szCs w:val="24"/>
        </w:rPr>
        <w:t xml:space="preserve">adecuadas </w:t>
      </w:r>
      <w:r w:rsidRPr="00CA44E6">
        <w:rPr>
          <w:rFonts w:cs="Times New Roman"/>
          <w:szCs w:val="24"/>
        </w:rPr>
        <w:t xml:space="preserve">de vida </w:t>
      </w:r>
      <w:r w:rsidR="00F657E3">
        <w:rPr>
          <w:rFonts w:cs="Times New Roman"/>
          <w:szCs w:val="24"/>
        </w:rPr>
        <w:t>a la población residente</w:t>
      </w:r>
      <w:r w:rsidRPr="00CA44E6">
        <w:rPr>
          <w:rFonts w:cs="Times New Roman"/>
          <w:szCs w:val="24"/>
        </w:rPr>
        <w:t>.</w:t>
      </w:r>
      <w:r>
        <w:rPr>
          <w:rFonts w:cs="Times New Roman"/>
          <w:szCs w:val="24"/>
        </w:rPr>
        <w:t xml:space="preserve"> </w:t>
      </w:r>
    </w:p>
    <w:p w:rsidR="00CF6554" w:rsidRDefault="00CF6554" w:rsidP="00E31691">
      <w:pPr>
        <w:spacing w:after="0"/>
        <w:jc w:val="both"/>
        <w:rPr>
          <w:rFonts w:cs="Times New Roman"/>
        </w:rPr>
      </w:pPr>
    </w:p>
    <w:p w:rsidR="006C4437" w:rsidRDefault="00967BA0" w:rsidP="00E31691">
      <w:pPr>
        <w:spacing w:after="0"/>
        <w:jc w:val="both"/>
        <w:rPr>
          <w:rFonts w:cs="Times New Roman"/>
        </w:rPr>
      </w:pPr>
      <w:r>
        <w:rPr>
          <w:rFonts w:cs="Times New Roman"/>
        </w:rPr>
        <w:tab/>
      </w:r>
      <w:r w:rsidR="008E0432">
        <w:rPr>
          <w:rFonts w:cs="Times New Roman"/>
        </w:rPr>
        <w:t>Por su parte, las provincias que presentan los</w:t>
      </w:r>
      <w:r w:rsidR="00F51BA9">
        <w:rPr>
          <w:rFonts w:cs="Times New Roman"/>
        </w:rPr>
        <w:t xml:space="preserve"> menores índices de pobreza fueron</w:t>
      </w:r>
      <w:r w:rsidR="00E81CFC">
        <w:rPr>
          <w:rFonts w:cs="Times New Roman"/>
        </w:rPr>
        <w:t xml:space="preserve"> las provincias australes</w:t>
      </w:r>
      <w:r w:rsidR="00F51BA9">
        <w:rPr>
          <w:rFonts w:cs="Times New Roman"/>
        </w:rPr>
        <w:t xml:space="preserve"> Santa Cruz (25,2%), Tierra del Fuego (24,1%, y con el menor nivel de indigencia, del 2,2%) y la Ciudad de Buenos Aires (15,2%, aunque casi la mitad de dichos pobres son indigentes, </w:t>
      </w:r>
      <w:r w:rsidR="007E49ED">
        <w:rPr>
          <w:rFonts w:cs="Times New Roman"/>
        </w:rPr>
        <w:t>con una</w:t>
      </w:r>
      <w:r w:rsidR="00F51BA9">
        <w:rPr>
          <w:rFonts w:cs="Times New Roman"/>
        </w:rPr>
        <w:t xml:space="preserve"> tasa </w:t>
      </w:r>
      <w:r w:rsidR="007E49ED">
        <w:rPr>
          <w:rFonts w:cs="Times New Roman"/>
        </w:rPr>
        <w:t xml:space="preserve">que </w:t>
      </w:r>
      <w:r w:rsidR="00F51BA9">
        <w:rPr>
          <w:rFonts w:cs="Times New Roman"/>
        </w:rPr>
        <w:t xml:space="preserve">se ubica en 6,5%). Es curioso el caso </w:t>
      </w:r>
      <w:r w:rsidR="008E0432">
        <w:rPr>
          <w:rFonts w:cs="Times New Roman"/>
        </w:rPr>
        <w:t>que expone</w:t>
      </w:r>
      <w:r w:rsidR="00F51BA9">
        <w:rPr>
          <w:rFonts w:cs="Times New Roman"/>
        </w:rPr>
        <w:t xml:space="preserve"> Santiago del Estero, provincia que evidencia uno de los mayores niveles de pobreza, pero menores de indigencia (2,7%). </w:t>
      </w:r>
    </w:p>
    <w:p w:rsidR="00E71301" w:rsidRDefault="00E71301" w:rsidP="00E31691">
      <w:pPr>
        <w:spacing w:after="0"/>
        <w:jc w:val="both"/>
        <w:rPr>
          <w:rFonts w:cs="Times New Roman"/>
        </w:rPr>
      </w:pPr>
    </w:p>
    <w:p w:rsidR="00E42FF7" w:rsidRDefault="00E42FF7" w:rsidP="00E31691">
      <w:pPr>
        <w:spacing w:after="0"/>
        <w:jc w:val="both"/>
        <w:rPr>
          <w:rFonts w:cs="Times New Roman"/>
        </w:rPr>
      </w:pPr>
    </w:p>
    <w:p w:rsidR="00E42FF7" w:rsidRDefault="00C37EB4" w:rsidP="00E31691">
      <w:pPr>
        <w:spacing w:after="0"/>
        <w:jc w:val="both"/>
        <w:rPr>
          <w:rFonts w:cs="Times New Roman"/>
        </w:rPr>
      </w:pPr>
      <w:r>
        <w:rPr>
          <w:rFonts w:cs="Times New Roman"/>
        </w:rPr>
        <w:t xml:space="preserve"> </w:t>
      </w:r>
      <w:r w:rsidR="0025202A">
        <w:rPr>
          <w:rFonts w:cs="Times New Roman"/>
        </w:rPr>
        <w:t xml:space="preserve"> </w:t>
      </w:r>
      <w:r w:rsidR="002F75CF">
        <w:rPr>
          <w:rFonts w:cs="Times New Roman"/>
        </w:rPr>
        <w:t xml:space="preserve"> </w:t>
      </w:r>
    </w:p>
    <w:p w:rsidR="00E42FF7" w:rsidRDefault="00E42FF7" w:rsidP="00E31691">
      <w:pPr>
        <w:spacing w:after="0"/>
        <w:jc w:val="both"/>
        <w:rPr>
          <w:rFonts w:cs="Times New Roman"/>
        </w:rPr>
      </w:pPr>
    </w:p>
    <w:p w:rsidR="00E42FF7" w:rsidRDefault="00E42FF7" w:rsidP="00E31691">
      <w:pPr>
        <w:spacing w:after="0"/>
        <w:jc w:val="both"/>
        <w:rPr>
          <w:rFonts w:cs="Times New Roman"/>
        </w:rPr>
      </w:pPr>
    </w:p>
    <w:p w:rsidR="00E42FF7" w:rsidRDefault="00E42FF7" w:rsidP="00E31691">
      <w:pPr>
        <w:spacing w:after="0"/>
        <w:jc w:val="both"/>
        <w:rPr>
          <w:rFonts w:cs="Times New Roman"/>
        </w:rPr>
      </w:pPr>
    </w:p>
    <w:p w:rsidR="00D95FA3" w:rsidRDefault="00E42FF7" w:rsidP="00D95FA3">
      <w:pPr>
        <w:spacing w:after="0"/>
        <w:jc w:val="both"/>
        <w:rPr>
          <w:rFonts w:cs="Times New Roman"/>
          <w:b/>
          <w:szCs w:val="24"/>
        </w:rPr>
      </w:pPr>
      <w:r>
        <w:rPr>
          <w:rFonts w:cs="Times New Roman"/>
          <w:b/>
          <w:szCs w:val="24"/>
        </w:rPr>
        <w:t>Cuadro Nº 1</w:t>
      </w:r>
      <w:r w:rsidR="00D95FA3" w:rsidRPr="00ED19B3">
        <w:rPr>
          <w:rFonts w:cs="Times New Roman"/>
          <w:b/>
          <w:szCs w:val="24"/>
        </w:rPr>
        <w:t>: Pobreza e Indigencia, en tasas y cantidad de personas</w:t>
      </w:r>
      <w:r w:rsidR="00D95FA3">
        <w:rPr>
          <w:rFonts w:cs="Times New Roman"/>
          <w:b/>
          <w:szCs w:val="24"/>
        </w:rPr>
        <w:t xml:space="preserve"> (orden descendente según tasas de pobreza)</w:t>
      </w:r>
      <w:r w:rsidR="00D95FA3" w:rsidRPr="00ED19B3">
        <w:rPr>
          <w:rFonts w:cs="Times New Roman"/>
          <w:b/>
          <w:szCs w:val="24"/>
        </w:rPr>
        <w:t>. Por provincias</w:t>
      </w:r>
      <w:r w:rsidR="00D95FA3">
        <w:rPr>
          <w:rFonts w:cs="Times New Roman"/>
          <w:b/>
          <w:szCs w:val="24"/>
        </w:rPr>
        <w:t xml:space="preserve"> y total nacional. 2</w:t>
      </w:r>
      <w:r w:rsidR="00D95FA3" w:rsidRPr="00ED19B3">
        <w:rPr>
          <w:rFonts w:cs="Times New Roman"/>
          <w:b/>
          <w:szCs w:val="24"/>
        </w:rPr>
        <w:t xml:space="preserve">º </w:t>
      </w:r>
      <w:r w:rsidR="00D95FA3">
        <w:rPr>
          <w:rFonts w:cs="Times New Roman"/>
          <w:b/>
          <w:szCs w:val="24"/>
        </w:rPr>
        <w:t>Trimestre</w:t>
      </w:r>
      <w:r w:rsidR="00D95FA3" w:rsidRPr="00ED19B3">
        <w:rPr>
          <w:rFonts w:cs="Times New Roman"/>
          <w:b/>
          <w:szCs w:val="24"/>
        </w:rPr>
        <w:t xml:space="preserve"> 2019.</w:t>
      </w:r>
    </w:p>
    <w:tbl>
      <w:tblPr>
        <w:tblW w:w="7760" w:type="dxa"/>
        <w:jc w:val="center"/>
        <w:tblCellMar>
          <w:left w:w="70" w:type="dxa"/>
          <w:right w:w="70" w:type="dxa"/>
        </w:tblCellMar>
        <w:tblLook w:val="04A0"/>
      </w:tblPr>
      <w:tblGrid>
        <w:gridCol w:w="2380"/>
        <w:gridCol w:w="2080"/>
        <w:gridCol w:w="1820"/>
        <w:gridCol w:w="1480"/>
      </w:tblGrid>
      <w:tr w:rsidR="00D95FA3" w:rsidRPr="005164E6" w:rsidTr="00F7087B">
        <w:trPr>
          <w:trHeight w:val="300"/>
          <w:jc w:val="center"/>
        </w:trPr>
        <w:tc>
          <w:tcPr>
            <w:tcW w:w="2380"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rsidR="00D95FA3" w:rsidRPr="005164E6" w:rsidRDefault="00D95FA3" w:rsidP="00F7087B">
            <w:pPr>
              <w:spacing w:after="0" w:line="240" w:lineRule="auto"/>
              <w:jc w:val="center"/>
              <w:rPr>
                <w:rFonts w:ascii="Calibri" w:eastAsia="Times New Roman" w:hAnsi="Calibri" w:cs="Calibri"/>
                <w:b/>
                <w:bCs/>
                <w:color w:val="FFFFFF"/>
                <w:sz w:val="20"/>
                <w:szCs w:val="20"/>
                <w:lang w:eastAsia="es-ES"/>
              </w:rPr>
            </w:pPr>
            <w:r w:rsidRPr="005164E6">
              <w:rPr>
                <w:rFonts w:ascii="Calibri" w:eastAsia="Times New Roman" w:hAnsi="Calibri" w:cs="Calibri"/>
                <w:b/>
                <w:bCs/>
                <w:color w:val="FFFFFF"/>
                <w:sz w:val="20"/>
                <w:szCs w:val="20"/>
                <w:lang w:eastAsia="es-ES"/>
              </w:rPr>
              <w:t> </w:t>
            </w:r>
          </w:p>
        </w:tc>
        <w:tc>
          <w:tcPr>
            <w:tcW w:w="5380" w:type="dxa"/>
            <w:gridSpan w:val="3"/>
            <w:tcBorders>
              <w:top w:val="single" w:sz="4" w:space="0" w:color="auto"/>
              <w:left w:val="nil"/>
              <w:bottom w:val="single" w:sz="4" w:space="0" w:color="auto"/>
              <w:right w:val="single" w:sz="4" w:space="0" w:color="000000"/>
            </w:tcBorders>
            <w:shd w:val="clear" w:color="000000" w:fill="0070C0"/>
            <w:vAlign w:val="center"/>
            <w:hideMark/>
          </w:tcPr>
          <w:p w:rsidR="00D95FA3" w:rsidRPr="005164E6" w:rsidRDefault="00D95FA3" w:rsidP="00F7087B">
            <w:pPr>
              <w:spacing w:after="0" w:line="240" w:lineRule="auto"/>
              <w:jc w:val="center"/>
              <w:rPr>
                <w:rFonts w:ascii="Calibri" w:eastAsia="Times New Roman" w:hAnsi="Calibri" w:cs="Calibri"/>
                <w:b/>
                <w:bCs/>
                <w:color w:val="FFFFFF"/>
                <w:sz w:val="20"/>
                <w:szCs w:val="20"/>
                <w:lang w:eastAsia="es-ES"/>
              </w:rPr>
            </w:pPr>
            <w:r w:rsidRPr="005164E6">
              <w:rPr>
                <w:rFonts w:ascii="Calibri" w:eastAsia="Times New Roman" w:hAnsi="Calibri" w:cs="Calibri"/>
                <w:b/>
                <w:bCs/>
                <w:color w:val="FFFFFF"/>
                <w:sz w:val="20"/>
                <w:szCs w:val="20"/>
                <w:lang w:eastAsia="es-ES"/>
              </w:rPr>
              <w:t>2do Trimestre 2019</w:t>
            </w:r>
          </w:p>
        </w:tc>
      </w:tr>
      <w:tr w:rsidR="00D95FA3" w:rsidRPr="005164E6" w:rsidTr="00F7087B">
        <w:trPr>
          <w:trHeight w:val="255"/>
          <w:jc w:val="center"/>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D95FA3" w:rsidRPr="005164E6" w:rsidRDefault="00D95FA3" w:rsidP="00F7087B">
            <w:pPr>
              <w:spacing w:after="0" w:line="240" w:lineRule="auto"/>
              <w:rPr>
                <w:rFonts w:ascii="Calibri" w:eastAsia="Times New Roman" w:hAnsi="Calibri" w:cs="Calibri"/>
                <w:b/>
                <w:bCs/>
                <w:color w:val="FFFFFF"/>
                <w:sz w:val="20"/>
                <w:szCs w:val="20"/>
                <w:lang w:eastAsia="es-ES"/>
              </w:rPr>
            </w:pPr>
          </w:p>
        </w:tc>
        <w:tc>
          <w:tcPr>
            <w:tcW w:w="3900" w:type="dxa"/>
            <w:gridSpan w:val="2"/>
            <w:tcBorders>
              <w:top w:val="single" w:sz="4" w:space="0" w:color="auto"/>
              <w:left w:val="nil"/>
              <w:bottom w:val="single" w:sz="4" w:space="0" w:color="auto"/>
              <w:right w:val="single" w:sz="4" w:space="0" w:color="auto"/>
            </w:tcBorders>
            <w:shd w:val="clear" w:color="000000" w:fill="0070C0"/>
            <w:vAlign w:val="center"/>
            <w:hideMark/>
          </w:tcPr>
          <w:p w:rsidR="00D95FA3" w:rsidRPr="005164E6" w:rsidRDefault="00D95FA3" w:rsidP="00F7087B">
            <w:pPr>
              <w:spacing w:after="0" w:line="240" w:lineRule="auto"/>
              <w:jc w:val="center"/>
              <w:rPr>
                <w:rFonts w:ascii="Calibri" w:eastAsia="Times New Roman" w:hAnsi="Calibri" w:cs="Calibri"/>
                <w:b/>
                <w:bCs/>
                <w:color w:val="FFFFFF"/>
                <w:sz w:val="20"/>
                <w:szCs w:val="20"/>
                <w:lang w:eastAsia="es-ES"/>
              </w:rPr>
            </w:pPr>
            <w:r w:rsidRPr="005164E6">
              <w:rPr>
                <w:rFonts w:ascii="Calibri" w:eastAsia="Times New Roman" w:hAnsi="Calibri" w:cs="Calibri"/>
                <w:b/>
                <w:bCs/>
                <w:color w:val="FFFFFF"/>
                <w:sz w:val="20"/>
                <w:szCs w:val="20"/>
                <w:lang w:eastAsia="es-ES"/>
              </w:rPr>
              <w:t>Pobreza</w:t>
            </w:r>
          </w:p>
        </w:tc>
        <w:tc>
          <w:tcPr>
            <w:tcW w:w="1480" w:type="dxa"/>
            <w:vMerge w:val="restart"/>
            <w:tcBorders>
              <w:top w:val="nil"/>
              <w:left w:val="single" w:sz="4" w:space="0" w:color="auto"/>
              <w:bottom w:val="single" w:sz="4" w:space="0" w:color="000000"/>
              <w:right w:val="single" w:sz="4" w:space="0" w:color="auto"/>
            </w:tcBorders>
            <w:shd w:val="clear" w:color="000000" w:fill="0070C0"/>
            <w:vAlign w:val="center"/>
            <w:hideMark/>
          </w:tcPr>
          <w:p w:rsidR="00D95FA3" w:rsidRPr="005164E6" w:rsidRDefault="00D95FA3" w:rsidP="00F7087B">
            <w:pPr>
              <w:spacing w:after="0" w:line="240" w:lineRule="auto"/>
              <w:jc w:val="center"/>
              <w:rPr>
                <w:rFonts w:ascii="Calibri" w:eastAsia="Times New Roman" w:hAnsi="Calibri" w:cs="Calibri"/>
                <w:b/>
                <w:bCs/>
                <w:color w:val="FFFFFF"/>
                <w:sz w:val="20"/>
                <w:szCs w:val="20"/>
                <w:lang w:eastAsia="es-ES"/>
              </w:rPr>
            </w:pPr>
            <w:r w:rsidRPr="005164E6">
              <w:rPr>
                <w:rFonts w:ascii="Calibri" w:eastAsia="Times New Roman" w:hAnsi="Calibri" w:cs="Calibri"/>
                <w:b/>
                <w:bCs/>
                <w:color w:val="FFFFFF"/>
                <w:sz w:val="20"/>
                <w:szCs w:val="20"/>
                <w:lang w:eastAsia="es-ES"/>
              </w:rPr>
              <w:t>Población Total</w:t>
            </w:r>
            <w:r w:rsidRPr="005164E6">
              <w:rPr>
                <w:rFonts w:ascii="Calibri" w:eastAsia="Times New Roman" w:hAnsi="Calibri" w:cs="Calibri"/>
                <w:b/>
                <w:bCs/>
                <w:color w:val="FFFFFF"/>
                <w:sz w:val="20"/>
                <w:szCs w:val="20"/>
                <w:lang w:eastAsia="es-ES"/>
              </w:rPr>
              <w:br/>
              <w:t>(Censo 2010)</w:t>
            </w:r>
          </w:p>
        </w:tc>
      </w:tr>
      <w:tr w:rsidR="00D95FA3" w:rsidRPr="005164E6" w:rsidTr="00F7087B">
        <w:trPr>
          <w:trHeight w:val="510"/>
          <w:jc w:val="center"/>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D95FA3" w:rsidRPr="005164E6" w:rsidRDefault="00D95FA3" w:rsidP="00F7087B">
            <w:pPr>
              <w:spacing w:after="0" w:line="240" w:lineRule="auto"/>
              <w:rPr>
                <w:rFonts w:ascii="Calibri" w:eastAsia="Times New Roman" w:hAnsi="Calibri" w:cs="Calibri"/>
                <w:b/>
                <w:bCs/>
                <w:color w:val="FFFFFF"/>
                <w:sz w:val="20"/>
                <w:szCs w:val="20"/>
                <w:lang w:eastAsia="es-ES"/>
              </w:rPr>
            </w:pPr>
          </w:p>
        </w:tc>
        <w:tc>
          <w:tcPr>
            <w:tcW w:w="2080" w:type="dxa"/>
            <w:tcBorders>
              <w:top w:val="nil"/>
              <w:left w:val="nil"/>
              <w:bottom w:val="single" w:sz="4" w:space="0" w:color="auto"/>
              <w:right w:val="nil"/>
            </w:tcBorders>
            <w:shd w:val="clear" w:color="000000" w:fill="0070C0"/>
            <w:vAlign w:val="center"/>
            <w:hideMark/>
          </w:tcPr>
          <w:p w:rsidR="00D95FA3" w:rsidRPr="005164E6" w:rsidRDefault="00D95FA3" w:rsidP="00F7087B">
            <w:pPr>
              <w:spacing w:after="0" w:line="240" w:lineRule="auto"/>
              <w:jc w:val="center"/>
              <w:rPr>
                <w:rFonts w:ascii="Calibri" w:eastAsia="Times New Roman" w:hAnsi="Calibri" w:cs="Calibri"/>
                <w:b/>
                <w:bCs/>
                <w:color w:val="FFFFFF"/>
                <w:sz w:val="20"/>
                <w:szCs w:val="20"/>
                <w:lang w:eastAsia="es-ES"/>
              </w:rPr>
            </w:pPr>
            <w:r w:rsidRPr="005164E6">
              <w:rPr>
                <w:rFonts w:ascii="Calibri" w:eastAsia="Times New Roman" w:hAnsi="Calibri" w:cs="Calibri"/>
                <w:b/>
                <w:bCs/>
                <w:color w:val="FFFFFF"/>
                <w:sz w:val="20"/>
                <w:szCs w:val="20"/>
                <w:lang w:eastAsia="es-ES"/>
              </w:rPr>
              <w:t>Tasa</w:t>
            </w:r>
          </w:p>
        </w:tc>
        <w:tc>
          <w:tcPr>
            <w:tcW w:w="1820" w:type="dxa"/>
            <w:tcBorders>
              <w:top w:val="nil"/>
              <w:left w:val="dotted" w:sz="4" w:space="0" w:color="auto"/>
              <w:bottom w:val="single" w:sz="4" w:space="0" w:color="auto"/>
              <w:right w:val="single" w:sz="4" w:space="0" w:color="auto"/>
            </w:tcBorders>
            <w:shd w:val="clear" w:color="000000" w:fill="0070C0"/>
            <w:vAlign w:val="center"/>
            <w:hideMark/>
          </w:tcPr>
          <w:p w:rsidR="00D95FA3" w:rsidRPr="005164E6" w:rsidRDefault="00D95FA3" w:rsidP="00F7087B">
            <w:pPr>
              <w:spacing w:after="0" w:line="240" w:lineRule="auto"/>
              <w:jc w:val="center"/>
              <w:rPr>
                <w:rFonts w:ascii="Calibri" w:eastAsia="Times New Roman" w:hAnsi="Calibri" w:cs="Calibri"/>
                <w:b/>
                <w:bCs/>
                <w:color w:val="FFFFFF"/>
                <w:sz w:val="20"/>
                <w:szCs w:val="20"/>
                <w:lang w:eastAsia="es-ES"/>
              </w:rPr>
            </w:pPr>
            <w:r w:rsidRPr="005164E6">
              <w:rPr>
                <w:rFonts w:ascii="Calibri" w:eastAsia="Times New Roman" w:hAnsi="Calibri" w:cs="Calibri"/>
                <w:b/>
                <w:bCs/>
                <w:color w:val="FFFFFF"/>
                <w:sz w:val="20"/>
                <w:szCs w:val="20"/>
                <w:lang w:eastAsia="es-ES"/>
              </w:rPr>
              <w:t>Cantidad de Personas</w:t>
            </w:r>
          </w:p>
        </w:tc>
        <w:tc>
          <w:tcPr>
            <w:tcW w:w="1480" w:type="dxa"/>
            <w:vMerge/>
            <w:tcBorders>
              <w:top w:val="nil"/>
              <w:left w:val="single" w:sz="4" w:space="0" w:color="auto"/>
              <w:bottom w:val="single" w:sz="4" w:space="0" w:color="000000"/>
              <w:right w:val="single" w:sz="4" w:space="0" w:color="auto"/>
            </w:tcBorders>
            <w:vAlign w:val="center"/>
            <w:hideMark/>
          </w:tcPr>
          <w:p w:rsidR="00D95FA3" w:rsidRPr="005164E6" w:rsidRDefault="00D95FA3" w:rsidP="00F7087B">
            <w:pPr>
              <w:spacing w:after="0" w:line="240" w:lineRule="auto"/>
              <w:rPr>
                <w:rFonts w:ascii="Calibri" w:eastAsia="Times New Roman" w:hAnsi="Calibri" w:cs="Calibri"/>
                <w:b/>
                <w:bCs/>
                <w:color w:val="FFFFFF"/>
                <w:sz w:val="20"/>
                <w:szCs w:val="20"/>
                <w:lang w:eastAsia="es-ES"/>
              </w:rPr>
            </w:pP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Santiago del Estero</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46,1%</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446.265</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968.309</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Chaco</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45,1%</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537.885</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1.192.616</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Catamarca</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45,1%</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185.586</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411.824</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Tucumán</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44,1%</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739.139</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1.674.622</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Salta</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43,4%</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609.880</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1.406.584</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Corrientes</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42,8%</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475.104</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1.111.052</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Entre Ríos</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42,3%</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581.165</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1.373.270</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Misiones</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40,5%</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505.119</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1.247.362</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Formosa</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39,7%</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238.123</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600.229</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Jujuy</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39,5%</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301.298</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762.440</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Mendoza</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39,4%</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776.997</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1.969.982</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Buenos Aires</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39,4%</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6.846.024</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17.370.144</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Santa Fe</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39,4%</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1.381.737</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3.509.113</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La Pampa</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38,8%</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137.905</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355.422</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San Luis</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38,3%</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192.267</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502.000</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Córdoba</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37,9%</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1.409.375</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3.722.332</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Chubut</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37,2%</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226.591</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608.729</w:t>
            </w:r>
          </w:p>
        </w:tc>
      </w:tr>
      <w:tr w:rsidR="00D95FA3" w:rsidRPr="005164E6" w:rsidTr="00F7087B">
        <w:trPr>
          <w:trHeight w:val="255"/>
          <w:jc w:val="center"/>
        </w:trPr>
        <w:tc>
          <w:tcPr>
            <w:tcW w:w="2380" w:type="dxa"/>
            <w:tcBorders>
              <w:top w:val="nil"/>
              <w:left w:val="single" w:sz="4" w:space="0" w:color="auto"/>
              <w:bottom w:val="nil"/>
              <w:right w:val="nil"/>
            </w:tcBorders>
            <w:shd w:val="clear" w:color="000000" w:fill="D8D8D8"/>
            <w:vAlign w:val="bottom"/>
            <w:hideMark/>
          </w:tcPr>
          <w:p w:rsidR="00D95FA3" w:rsidRPr="005164E6" w:rsidRDefault="00D95FA3" w:rsidP="00F7087B">
            <w:pPr>
              <w:spacing w:after="0" w:line="240" w:lineRule="auto"/>
              <w:jc w:val="center"/>
              <w:rPr>
                <w:rFonts w:ascii="Calibri" w:eastAsia="Times New Roman" w:hAnsi="Calibri" w:cs="Calibri"/>
                <w:b/>
                <w:bCs/>
                <w:color w:val="000000"/>
                <w:sz w:val="20"/>
                <w:szCs w:val="20"/>
                <w:lang w:eastAsia="es-ES"/>
              </w:rPr>
            </w:pPr>
            <w:r w:rsidRPr="005164E6">
              <w:rPr>
                <w:rFonts w:ascii="Calibri" w:eastAsia="Times New Roman" w:hAnsi="Calibri" w:cs="Calibri"/>
                <w:b/>
                <w:bCs/>
                <w:color w:val="000000"/>
                <w:sz w:val="20"/>
                <w:szCs w:val="20"/>
                <w:lang w:eastAsia="es-ES"/>
              </w:rPr>
              <w:t>Total Nacional</w:t>
            </w:r>
          </w:p>
        </w:tc>
        <w:tc>
          <w:tcPr>
            <w:tcW w:w="2080" w:type="dxa"/>
            <w:tcBorders>
              <w:top w:val="nil"/>
              <w:left w:val="single" w:sz="4" w:space="0" w:color="auto"/>
              <w:bottom w:val="nil"/>
              <w:right w:val="nil"/>
            </w:tcBorders>
            <w:shd w:val="clear" w:color="000000" w:fill="D8D8D8"/>
            <w:vAlign w:val="bottom"/>
            <w:hideMark/>
          </w:tcPr>
          <w:p w:rsidR="00D95FA3" w:rsidRPr="005164E6" w:rsidRDefault="00D95FA3" w:rsidP="00F7087B">
            <w:pPr>
              <w:spacing w:after="0" w:line="240" w:lineRule="auto"/>
              <w:jc w:val="center"/>
              <w:rPr>
                <w:rFonts w:ascii="Calibri" w:eastAsia="Times New Roman" w:hAnsi="Calibri" w:cs="Calibri"/>
                <w:b/>
                <w:bCs/>
                <w:color w:val="000000"/>
                <w:sz w:val="20"/>
                <w:szCs w:val="20"/>
                <w:lang w:eastAsia="es-ES"/>
              </w:rPr>
            </w:pPr>
            <w:r w:rsidRPr="005164E6">
              <w:rPr>
                <w:rFonts w:ascii="Calibri" w:eastAsia="Times New Roman" w:hAnsi="Calibri" w:cs="Calibri"/>
                <w:b/>
                <w:bCs/>
                <w:color w:val="000000"/>
                <w:sz w:val="20"/>
                <w:szCs w:val="20"/>
                <w:lang w:eastAsia="es-ES"/>
              </w:rPr>
              <w:t>36,7%</w:t>
            </w:r>
          </w:p>
        </w:tc>
        <w:tc>
          <w:tcPr>
            <w:tcW w:w="1820" w:type="dxa"/>
            <w:tcBorders>
              <w:top w:val="nil"/>
              <w:left w:val="dotted" w:sz="4" w:space="0" w:color="auto"/>
              <w:bottom w:val="nil"/>
              <w:right w:val="single" w:sz="4" w:space="0" w:color="auto"/>
            </w:tcBorders>
            <w:shd w:val="clear" w:color="000000" w:fill="D8D8D8"/>
            <w:vAlign w:val="bottom"/>
            <w:hideMark/>
          </w:tcPr>
          <w:p w:rsidR="00D95FA3" w:rsidRPr="005164E6" w:rsidRDefault="00D95FA3" w:rsidP="00F7087B">
            <w:pPr>
              <w:spacing w:after="0" w:line="240" w:lineRule="auto"/>
              <w:jc w:val="center"/>
              <w:rPr>
                <w:rFonts w:ascii="Calibri" w:eastAsia="Times New Roman" w:hAnsi="Calibri" w:cs="Calibri"/>
                <w:b/>
                <w:bCs/>
                <w:color w:val="000000"/>
                <w:sz w:val="20"/>
                <w:szCs w:val="20"/>
                <w:lang w:eastAsia="es-ES"/>
              </w:rPr>
            </w:pPr>
            <w:r w:rsidRPr="005164E6">
              <w:rPr>
                <w:rFonts w:ascii="Calibri" w:eastAsia="Times New Roman" w:hAnsi="Calibri" w:cs="Calibri"/>
                <w:b/>
                <w:bCs/>
                <w:color w:val="000000"/>
                <w:sz w:val="20"/>
                <w:szCs w:val="20"/>
                <w:lang w:eastAsia="es-ES"/>
              </w:rPr>
              <w:t>16.496.256</w:t>
            </w:r>
          </w:p>
        </w:tc>
        <w:tc>
          <w:tcPr>
            <w:tcW w:w="1480" w:type="dxa"/>
            <w:tcBorders>
              <w:top w:val="nil"/>
              <w:left w:val="nil"/>
              <w:bottom w:val="nil"/>
              <w:right w:val="single" w:sz="4" w:space="0" w:color="auto"/>
            </w:tcBorders>
            <w:shd w:val="clear" w:color="000000" w:fill="D8D8D8"/>
            <w:vAlign w:val="bottom"/>
            <w:hideMark/>
          </w:tcPr>
          <w:p w:rsidR="00D95FA3" w:rsidRPr="005164E6" w:rsidRDefault="00D95FA3" w:rsidP="00F7087B">
            <w:pPr>
              <w:spacing w:after="0" w:line="240" w:lineRule="auto"/>
              <w:jc w:val="center"/>
              <w:rPr>
                <w:rFonts w:ascii="Calibri" w:eastAsia="Times New Roman" w:hAnsi="Calibri" w:cs="Calibri"/>
                <w:b/>
                <w:bCs/>
                <w:color w:val="000000"/>
                <w:sz w:val="20"/>
                <w:szCs w:val="20"/>
                <w:lang w:eastAsia="es-ES"/>
              </w:rPr>
            </w:pPr>
            <w:r w:rsidRPr="005164E6">
              <w:rPr>
                <w:rFonts w:ascii="Calibri" w:eastAsia="Times New Roman" w:hAnsi="Calibri" w:cs="Calibri"/>
                <w:b/>
                <w:bCs/>
                <w:color w:val="000000"/>
                <w:sz w:val="20"/>
                <w:szCs w:val="20"/>
                <w:lang w:eastAsia="es-ES"/>
              </w:rPr>
              <w:t>44.938.712</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Río Negro</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35,1%</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259.400</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738.060</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La Rioja</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31,8%</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123.614</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388.386</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Neuquén</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27,9%</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182.683</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655.501</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San Juan</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26,7%</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206.186</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772.876</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Santa Cruz</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25,2%</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89.740</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356.647</w:t>
            </w:r>
          </w:p>
        </w:tc>
      </w:tr>
      <w:tr w:rsidR="00D95FA3" w:rsidRPr="005164E6"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Tierra del Fuego</w:t>
            </w:r>
          </w:p>
        </w:tc>
        <w:tc>
          <w:tcPr>
            <w:tcW w:w="2080" w:type="dxa"/>
            <w:tcBorders>
              <w:top w:val="nil"/>
              <w:left w:val="single" w:sz="4" w:space="0" w:color="auto"/>
              <w:bottom w:val="nil"/>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24,1%</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40.807</w:t>
            </w:r>
          </w:p>
        </w:tc>
        <w:tc>
          <w:tcPr>
            <w:tcW w:w="1480" w:type="dxa"/>
            <w:tcBorders>
              <w:top w:val="nil"/>
              <w:left w:val="nil"/>
              <w:bottom w:val="nil"/>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169.183</w:t>
            </w:r>
          </w:p>
        </w:tc>
      </w:tr>
      <w:tr w:rsidR="00D95FA3" w:rsidRPr="005164E6" w:rsidTr="00F7087B">
        <w:trPr>
          <w:trHeight w:val="255"/>
          <w:jc w:val="center"/>
        </w:trPr>
        <w:tc>
          <w:tcPr>
            <w:tcW w:w="2380" w:type="dxa"/>
            <w:tcBorders>
              <w:top w:val="nil"/>
              <w:left w:val="single" w:sz="4" w:space="0" w:color="auto"/>
              <w:bottom w:val="single" w:sz="4" w:space="0" w:color="auto"/>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Ciudad de Buenos Aires</w:t>
            </w:r>
          </w:p>
        </w:tc>
        <w:tc>
          <w:tcPr>
            <w:tcW w:w="2080" w:type="dxa"/>
            <w:tcBorders>
              <w:top w:val="nil"/>
              <w:left w:val="single" w:sz="4" w:space="0" w:color="auto"/>
              <w:bottom w:val="single" w:sz="4" w:space="0" w:color="auto"/>
              <w:right w:val="nil"/>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15,2%</w:t>
            </w:r>
          </w:p>
        </w:tc>
        <w:tc>
          <w:tcPr>
            <w:tcW w:w="1820" w:type="dxa"/>
            <w:tcBorders>
              <w:top w:val="nil"/>
              <w:left w:val="dotted" w:sz="4" w:space="0" w:color="auto"/>
              <w:bottom w:val="single" w:sz="4" w:space="0" w:color="auto"/>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467.824</w:t>
            </w:r>
          </w:p>
        </w:tc>
        <w:tc>
          <w:tcPr>
            <w:tcW w:w="1480" w:type="dxa"/>
            <w:tcBorders>
              <w:top w:val="nil"/>
              <w:left w:val="nil"/>
              <w:bottom w:val="single" w:sz="4" w:space="0" w:color="auto"/>
              <w:right w:val="single" w:sz="4" w:space="0" w:color="auto"/>
            </w:tcBorders>
            <w:shd w:val="clear" w:color="auto" w:fill="auto"/>
            <w:noWrap/>
            <w:vAlign w:val="bottom"/>
            <w:hideMark/>
          </w:tcPr>
          <w:p w:rsidR="00D95FA3" w:rsidRPr="005164E6" w:rsidRDefault="00D95FA3" w:rsidP="00F7087B">
            <w:pPr>
              <w:spacing w:after="0" w:line="240" w:lineRule="auto"/>
              <w:jc w:val="center"/>
              <w:rPr>
                <w:rFonts w:ascii="Calibri" w:eastAsia="Times New Roman" w:hAnsi="Calibri" w:cs="Calibri"/>
                <w:color w:val="000000"/>
                <w:sz w:val="20"/>
                <w:szCs w:val="20"/>
                <w:lang w:eastAsia="es-ES"/>
              </w:rPr>
            </w:pPr>
            <w:r w:rsidRPr="005164E6">
              <w:rPr>
                <w:rFonts w:ascii="Calibri" w:eastAsia="Times New Roman" w:hAnsi="Calibri" w:cs="Calibri"/>
                <w:color w:val="000000"/>
                <w:sz w:val="20"/>
                <w:szCs w:val="20"/>
                <w:lang w:eastAsia="es-ES"/>
              </w:rPr>
              <w:t>3.072.029</w:t>
            </w:r>
          </w:p>
        </w:tc>
      </w:tr>
    </w:tbl>
    <w:p w:rsidR="00D95FA3" w:rsidRDefault="00D95FA3" w:rsidP="00D95FA3">
      <w:pPr>
        <w:spacing w:after="0"/>
        <w:jc w:val="center"/>
        <w:rPr>
          <w:rFonts w:cs="Times New Roman"/>
          <w:sz w:val="20"/>
          <w:szCs w:val="24"/>
        </w:rPr>
      </w:pPr>
      <w:r w:rsidRPr="00ED19B3">
        <w:rPr>
          <w:rFonts w:cs="Times New Roman"/>
          <w:sz w:val="20"/>
          <w:szCs w:val="24"/>
          <w:u w:val="single"/>
        </w:rPr>
        <w:t>Fuente</w:t>
      </w:r>
      <w:r w:rsidRPr="00ED19B3">
        <w:rPr>
          <w:rFonts w:cs="Times New Roman"/>
          <w:sz w:val="20"/>
          <w:szCs w:val="24"/>
        </w:rPr>
        <w:t>: Elaboración propia en base a datos de la EPH-INDEC.</w:t>
      </w:r>
    </w:p>
    <w:p w:rsidR="00D95FA3" w:rsidRDefault="00D95FA3" w:rsidP="00D95FA3">
      <w:pPr>
        <w:spacing w:after="0"/>
        <w:jc w:val="both"/>
        <w:rPr>
          <w:rFonts w:cs="Times New Roman"/>
        </w:rPr>
      </w:pPr>
    </w:p>
    <w:p w:rsidR="00D95FA3" w:rsidRDefault="00D95FA3" w:rsidP="00D95FA3">
      <w:pPr>
        <w:spacing w:after="0"/>
        <w:jc w:val="both"/>
        <w:rPr>
          <w:rFonts w:cs="Times New Roman"/>
        </w:rPr>
      </w:pPr>
    </w:p>
    <w:p w:rsidR="00D726CF" w:rsidRDefault="00D726CF" w:rsidP="00D95FA3">
      <w:pPr>
        <w:spacing w:after="0"/>
        <w:jc w:val="both"/>
        <w:rPr>
          <w:rFonts w:cs="Times New Roman"/>
          <w:b/>
          <w:szCs w:val="24"/>
        </w:rPr>
      </w:pPr>
    </w:p>
    <w:p w:rsidR="00D726CF" w:rsidRDefault="00D726CF" w:rsidP="00D95FA3">
      <w:pPr>
        <w:spacing w:after="0"/>
        <w:jc w:val="both"/>
        <w:rPr>
          <w:rFonts w:cs="Times New Roman"/>
          <w:b/>
          <w:szCs w:val="24"/>
        </w:rPr>
      </w:pPr>
    </w:p>
    <w:p w:rsidR="00D726CF" w:rsidRDefault="00D726CF" w:rsidP="00D95FA3">
      <w:pPr>
        <w:spacing w:after="0"/>
        <w:jc w:val="both"/>
        <w:rPr>
          <w:rFonts w:cs="Times New Roman"/>
          <w:b/>
          <w:szCs w:val="24"/>
        </w:rPr>
      </w:pPr>
    </w:p>
    <w:p w:rsidR="00D726CF" w:rsidRDefault="00D726CF" w:rsidP="00D95FA3">
      <w:pPr>
        <w:spacing w:after="0"/>
        <w:jc w:val="both"/>
        <w:rPr>
          <w:rFonts w:cs="Times New Roman"/>
          <w:b/>
          <w:szCs w:val="24"/>
        </w:rPr>
      </w:pPr>
    </w:p>
    <w:p w:rsidR="00D726CF" w:rsidRDefault="00D726CF" w:rsidP="00D95FA3">
      <w:pPr>
        <w:spacing w:after="0"/>
        <w:jc w:val="both"/>
        <w:rPr>
          <w:rFonts w:cs="Times New Roman"/>
          <w:b/>
          <w:szCs w:val="24"/>
        </w:rPr>
      </w:pPr>
    </w:p>
    <w:p w:rsidR="00D726CF" w:rsidRDefault="00D726CF" w:rsidP="00D95FA3">
      <w:pPr>
        <w:spacing w:after="0"/>
        <w:jc w:val="both"/>
        <w:rPr>
          <w:rFonts w:cs="Times New Roman"/>
          <w:b/>
          <w:szCs w:val="24"/>
        </w:rPr>
      </w:pPr>
    </w:p>
    <w:p w:rsidR="00D726CF" w:rsidRDefault="00D726CF" w:rsidP="00D95FA3">
      <w:pPr>
        <w:spacing w:after="0"/>
        <w:jc w:val="both"/>
        <w:rPr>
          <w:rFonts w:cs="Times New Roman"/>
          <w:b/>
          <w:szCs w:val="24"/>
        </w:rPr>
      </w:pPr>
    </w:p>
    <w:p w:rsidR="00D726CF" w:rsidRDefault="00D726CF" w:rsidP="00D95FA3">
      <w:pPr>
        <w:spacing w:after="0"/>
        <w:jc w:val="both"/>
        <w:rPr>
          <w:rFonts w:cs="Times New Roman"/>
          <w:b/>
          <w:szCs w:val="24"/>
        </w:rPr>
      </w:pPr>
    </w:p>
    <w:p w:rsidR="00D726CF" w:rsidRDefault="00D726CF" w:rsidP="00D95FA3">
      <w:pPr>
        <w:spacing w:after="0"/>
        <w:jc w:val="both"/>
        <w:rPr>
          <w:rFonts w:cs="Times New Roman"/>
          <w:b/>
          <w:szCs w:val="24"/>
        </w:rPr>
      </w:pPr>
    </w:p>
    <w:p w:rsidR="00E42FF7" w:rsidRDefault="00E42FF7" w:rsidP="00D95FA3">
      <w:pPr>
        <w:spacing w:after="0"/>
        <w:jc w:val="both"/>
        <w:rPr>
          <w:rFonts w:cs="Times New Roman"/>
          <w:b/>
          <w:szCs w:val="24"/>
        </w:rPr>
      </w:pPr>
    </w:p>
    <w:p w:rsidR="00E42FF7" w:rsidRDefault="00E42FF7" w:rsidP="00D95FA3">
      <w:pPr>
        <w:spacing w:after="0"/>
        <w:jc w:val="both"/>
        <w:rPr>
          <w:rFonts w:cs="Times New Roman"/>
          <w:b/>
          <w:szCs w:val="24"/>
        </w:rPr>
      </w:pPr>
    </w:p>
    <w:p w:rsidR="00E42FF7" w:rsidRDefault="00E42FF7" w:rsidP="00D95FA3">
      <w:pPr>
        <w:spacing w:after="0"/>
        <w:jc w:val="both"/>
        <w:rPr>
          <w:rFonts w:cs="Times New Roman"/>
          <w:b/>
          <w:szCs w:val="24"/>
        </w:rPr>
      </w:pPr>
    </w:p>
    <w:p w:rsidR="00E42FF7" w:rsidRDefault="00E42FF7" w:rsidP="00D95FA3">
      <w:pPr>
        <w:spacing w:after="0"/>
        <w:jc w:val="both"/>
        <w:rPr>
          <w:rFonts w:cs="Times New Roman"/>
          <w:b/>
          <w:szCs w:val="24"/>
        </w:rPr>
      </w:pPr>
    </w:p>
    <w:p w:rsidR="00D726CF" w:rsidRDefault="00D726CF" w:rsidP="00D95FA3">
      <w:pPr>
        <w:spacing w:after="0"/>
        <w:jc w:val="both"/>
        <w:rPr>
          <w:rFonts w:cs="Times New Roman"/>
          <w:b/>
          <w:szCs w:val="24"/>
        </w:rPr>
      </w:pPr>
    </w:p>
    <w:p w:rsidR="00D726CF" w:rsidRDefault="00D726CF" w:rsidP="00D95FA3">
      <w:pPr>
        <w:spacing w:after="0"/>
        <w:jc w:val="both"/>
        <w:rPr>
          <w:rFonts w:cs="Times New Roman"/>
          <w:b/>
          <w:szCs w:val="24"/>
        </w:rPr>
      </w:pPr>
    </w:p>
    <w:p w:rsidR="00D95FA3" w:rsidRDefault="00D95FA3" w:rsidP="00D95FA3">
      <w:pPr>
        <w:spacing w:after="0"/>
        <w:jc w:val="both"/>
        <w:rPr>
          <w:rFonts w:cs="Times New Roman"/>
          <w:b/>
          <w:szCs w:val="24"/>
        </w:rPr>
      </w:pPr>
      <w:r>
        <w:rPr>
          <w:rFonts w:cs="Times New Roman"/>
          <w:b/>
          <w:szCs w:val="24"/>
        </w:rPr>
        <w:t>Cuadro Nº2</w:t>
      </w:r>
      <w:r w:rsidRPr="00ED19B3">
        <w:rPr>
          <w:rFonts w:cs="Times New Roman"/>
          <w:b/>
          <w:szCs w:val="24"/>
        </w:rPr>
        <w:t>: Pobreza e Indigencia, en tasas y cantidad de personas</w:t>
      </w:r>
      <w:r>
        <w:rPr>
          <w:rFonts w:cs="Times New Roman"/>
          <w:b/>
          <w:szCs w:val="24"/>
        </w:rPr>
        <w:t xml:space="preserve"> (orden descendente según tasas de indigencia)</w:t>
      </w:r>
      <w:r w:rsidRPr="00ED19B3">
        <w:rPr>
          <w:rFonts w:cs="Times New Roman"/>
          <w:b/>
          <w:szCs w:val="24"/>
        </w:rPr>
        <w:t>. Por provincias</w:t>
      </w:r>
      <w:r>
        <w:rPr>
          <w:rFonts w:cs="Times New Roman"/>
          <w:b/>
          <w:szCs w:val="24"/>
        </w:rPr>
        <w:t xml:space="preserve"> y total nacional. 2</w:t>
      </w:r>
      <w:r w:rsidRPr="00ED19B3">
        <w:rPr>
          <w:rFonts w:cs="Times New Roman"/>
          <w:b/>
          <w:szCs w:val="24"/>
        </w:rPr>
        <w:t xml:space="preserve">º </w:t>
      </w:r>
      <w:r>
        <w:rPr>
          <w:rFonts w:cs="Times New Roman"/>
          <w:b/>
          <w:szCs w:val="24"/>
        </w:rPr>
        <w:t>Trimestre</w:t>
      </w:r>
      <w:r w:rsidRPr="00ED19B3">
        <w:rPr>
          <w:rFonts w:cs="Times New Roman"/>
          <w:b/>
          <w:szCs w:val="24"/>
        </w:rPr>
        <w:t xml:space="preserve"> 2019.</w:t>
      </w:r>
    </w:p>
    <w:tbl>
      <w:tblPr>
        <w:tblW w:w="7900" w:type="dxa"/>
        <w:jc w:val="center"/>
        <w:tblCellMar>
          <w:left w:w="70" w:type="dxa"/>
          <w:right w:w="70" w:type="dxa"/>
        </w:tblCellMar>
        <w:tblLook w:val="04A0"/>
      </w:tblPr>
      <w:tblGrid>
        <w:gridCol w:w="2440"/>
        <w:gridCol w:w="1820"/>
        <w:gridCol w:w="1820"/>
        <w:gridCol w:w="1820"/>
      </w:tblGrid>
      <w:tr w:rsidR="00D95FA3" w:rsidRPr="00F71A09" w:rsidTr="00F7087B">
        <w:trPr>
          <w:trHeight w:val="300"/>
          <w:jc w:val="center"/>
        </w:trPr>
        <w:tc>
          <w:tcPr>
            <w:tcW w:w="2440"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sidRPr="00F71A09">
              <w:rPr>
                <w:rFonts w:ascii="Calibri" w:eastAsia="Times New Roman" w:hAnsi="Calibri" w:cs="Calibri"/>
                <w:b/>
                <w:bCs/>
                <w:color w:val="FFFFFF"/>
                <w:sz w:val="20"/>
                <w:szCs w:val="20"/>
                <w:lang w:eastAsia="es-ES"/>
              </w:rPr>
              <w:t> </w:t>
            </w:r>
          </w:p>
        </w:tc>
        <w:tc>
          <w:tcPr>
            <w:tcW w:w="5460" w:type="dxa"/>
            <w:gridSpan w:val="3"/>
            <w:tcBorders>
              <w:top w:val="single" w:sz="4" w:space="0" w:color="auto"/>
              <w:left w:val="nil"/>
              <w:bottom w:val="single" w:sz="4" w:space="0" w:color="auto"/>
              <w:right w:val="single" w:sz="4" w:space="0" w:color="000000"/>
            </w:tcBorders>
            <w:shd w:val="clear" w:color="000000" w:fill="0070C0"/>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sidRPr="00F71A09">
              <w:rPr>
                <w:rFonts w:ascii="Calibri" w:eastAsia="Times New Roman" w:hAnsi="Calibri" w:cs="Calibri"/>
                <w:b/>
                <w:bCs/>
                <w:color w:val="FFFFFF"/>
                <w:sz w:val="20"/>
                <w:szCs w:val="20"/>
                <w:lang w:eastAsia="es-ES"/>
              </w:rPr>
              <w:t>2do Trimestre 2019</w:t>
            </w:r>
          </w:p>
        </w:tc>
      </w:tr>
      <w:tr w:rsidR="00D95FA3" w:rsidRPr="00F71A09" w:rsidTr="00F7087B">
        <w:trPr>
          <w:trHeight w:val="255"/>
          <w:jc w:val="center"/>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D95FA3" w:rsidRPr="00F71A09" w:rsidRDefault="00D95FA3" w:rsidP="00F7087B">
            <w:pPr>
              <w:spacing w:after="0" w:line="240" w:lineRule="auto"/>
              <w:rPr>
                <w:rFonts w:ascii="Calibri" w:eastAsia="Times New Roman" w:hAnsi="Calibri" w:cs="Calibri"/>
                <w:b/>
                <w:bCs/>
                <w:color w:val="FFFFFF"/>
                <w:sz w:val="20"/>
                <w:szCs w:val="20"/>
                <w:lang w:eastAsia="es-ES"/>
              </w:rPr>
            </w:pPr>
          </w:p>
        </w:tc>
        <w:tc>
          <w:tcPr>
            <w:tcW w:w="3640" w:type="dxa"/>
            <w:gridSpan w:val="2"/>
            <w:tcBorders>
              <w:top w:val="single" w:sz="4" w:space="0" w:color="auto"/>
              <w:left w:val="nil"/>
              <w:bottom w:val="single" w:sz="4" w:space="0" w:color="auto"/>
              <w:right w:val="single" w:sz="4" w:space="0" w:color="auto"/>
            </w:tcBorders>
            <w:shd w:val="clear" w:color="000000" w:fill="0070C0"/>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sidRPr="00F71A09">
              <w:rPr>
                <w:rFonts w:ascii="Calibri" w:eastAsia="Times New Roman" w:hAnsi="Calibri" w:cs="Calibri"/>
                <w:b/>
                <w:bCs/>
                <w:color w:val="FFFFFF"/>
                <w:sz w:val="20"/>
                <w:szCs w:val="20"/>
                <w:lang w:eastAsia="es-ES"/>
              </w:rPr>
              <w:t xml:space="preserve"> Indigencia</w:t>
            </w:r>
          </w:p>
        </w:tc>
        <w:tc>
          <w:tcPr>
            <w:tcW w:w="1820" w:type="dxa"/>
            <w:vMerge w:val="restart"/>
            <w:tcBorders>
              <w:top w:val="nil"/>
              <w:left w:val="single" w:sz="4" w:space="0" w:color="auto"/>
              <w:bottom w:val="single" w:sz="4" w:space="0" w:color="auto"/>
              <w:right w:val="single" w:sz="4" w:space="0" w:color="auto"/>
            </w:tcBorders>
            <w:shd w:val="clear" w:color="000000" w:fill="0070C0"/>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sidRPr="00F71A09">
              <w:rPr>
                <w:rFonts w:ascii="Calibri" w:eastAsia="Times New Roman" w:hAnsi="Calibri" w:cs="Calibri"/>
                <w:b/>
                <w:bCs/>
                <w:color w:val="FFFFFF"/>
                <w:sz w:val="20"/>
                <w:szCs w:val="20"/>
                <w:lang w:eastAsia="es-ES"/>
              </w:rPr>
              <w:t>Población Total</w:t>
            </w:r>
            <w:r w:rsidRPr="00F71A09">
              <w:rPr>
                <w:rFonts w:ascii="Calibri" w:eastAsia="Times New Roman" w:hAnsi="Calibri" w:cs="Calibri"/>
                <w:b/>
                <w:bCs/>
                <w:color w:val="FFFFFF"/>
                <w:sz w:val="20"/>
                <w:szCs w:val="20"/>
                <w:lang w:eastAsia="es-ES"/>
              </w:rPr>
              <w:br/>
              <w:t>(Censo 2010)</w:t>
            </w:r>
          </w:p>
        </w:tc>
      </w:tr>
      <w:tr w:rsidR="00D95FA3" w:rsidRPr="00F71A09" w:rsidTr="00F7087B">
        <w:trPr>
          <w:trHeight w:val="510"/>
          <w:jc w:val="center"/>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D95FA3" w:rsidRPr="00F71A09" w:rsidRDefault="00D95FA3" w:rsidP="00F7087B">
            <w:pPr>
              <w:spacing w:after="0" w:line="240" w:lineRule="auto"/>
              <w:rPr>
                <w:rFonts w:ascii="Calibri" w:eastAsia="Times New Roman" w:hAnsi="Calibri" w:cs="Calibri"/>
                <w:b/>
                <w:bCs/>
                <w:color w:val="FFFFFF"/>
                <w:sz w:val="20"/>
                <w:szCs w:val="20"/>
                <w:lang w:eastAsia="es-ES"/>
              </w:rPr>
            </w:pPr>
          </w:p>
        </w:tc>
        <w:tc>
          <w:tcPr>
            <w:tcW w:w="1820" w:type="dxa"/>
            <w:tcBorders>
              <w:top w:val="nil"/>
              <w:left w:val="nil"/>
              <w:bottom w:val="single" w:sz="4" w:space="0" w:color="auto"/>
              <w:right w:val="nil"/>
            </w:tcBorders>
            <w:shd w:val="clear" w:color="000000" w:fill="0070C0"/>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sidRPr="00F71A09">
              <w:rPr>
                <w:rFonts w:ascii="Calibri" w:eastAsia="Times New Roman" w:hAnsi="Calibri" w:cs="Calibri"/>
                <w:b/>
                <w:bCs/>
                <w:color w:val="FFFFFF"/>
                <w:sz w:val="20"/>
                <w:szCs w:val="20"/>
                <w:lang w:eastAsia="es-ES"/>
              </w:rPr>
              <w:t>Tasa</w:t>
            </w:r>
          </w:p>
        </w:tc>
        <w:tc>
          <w:tcPr>
            <w:tcW w:w="1820" w:type="dxa"/>
            <w:tcBorders>
              <w:top w:val="nil"/>
              <w:left w:val="dotted" w:sz="4" w:space="0" w:color="auto"/>
              <w:bottom w:val="single" w:sz="4" w:space="0" w:color="auto"/>
              <w:right w:val="single" w:sz="4" w:space="0" w:color="auto"/>
            </w:tcBorders>
            <w:shd w:val="clear" w:color="000000" w:fill="0070C0"/>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sidRPr="00F71A09">
              <w:rPr>
                <w:rFonts w:ascii="Calibri" w:eastAsia="Times New Roman" w:hAnsi="Calibri" w:cs="Calibri"/>
                <w:b/>
                <w:bCs/>
                <w:color w:val="FFFFFF"/>
                <w:sz w:val="20"/>
                <w:szCs w:val="20"/>
                <w:lang w:eastAsia="es-ES"/>
              </w:rPr>
              <w:t>Cantidad de Personas</w:t>
            </w:r>
          </w:p>
        </w:tc>
        <w:tc>
          <w:tcPr>
            <w:tcW w:w="1820" w:type="dxa"/>
            <w:vMerge/>
            <w:tcBorders>
              <w:top w:val="nil"/>
              <w:left w:val="single" w:sz="4" w:space="0" w:color="auto"/>
              <w:bottom w:val="single" w:sz="4" w:space="0" w:color="auto"/>
              <w:right w:val="single" w:sz="4" w:space="0" w:color="auto"/>
            </w:tcBorders>
            <w:vAlign w:val="center"/>
            <w:hideMark/>
          </w:tcPr>
          <w:p w:rsidR="00D95FA3" w:rsidRPr="00F71A09" w:rsidRDefault="00D95FA3" w:rsidP="00F7087B">
            <w:pPr>
              <w:spacing w:after="0" w:line="240" w:lineRule="auto"/>
              <w:rPr>
                <w:rFonts w:ascii="Calibri" w:eastAsia="Times New Roman" w:hAnsi="Calibri" w:cs="Calibri"/>
                <w:b/>
                <w:bCs/>
                <w:color w:val="FFFFFF"/>
                <w:sz w:val="20"/>
                <w:szCs w:val="20"/>
                <w:lang w:eastAsia="es-ES"/>
              </w:rPr>
            </w:pP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Chaco</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16,7%</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198.946</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1.192.616</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Córdoba</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11,0%</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411.177</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3.722.332</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La Pampa</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10,8%</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38.320</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355.422</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Misiones</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10,7%</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133.633</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1.247.362</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Corrientes</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10,5%</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116.352</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1.111.052</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Buenos Aires</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9,5%</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1.643.778</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17.370.144</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Entre Ríos</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8,9%</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121.653</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1.373.270</w:t>
            </w:r>
          </w:p>
        </w:tc>
      </w:tr>
      <w:tr w:rsidR="00D95FA3" w:rsidRPr="00F71A09" w:rsidTr="00F7087B">
        <w:trPr>
          <w:trHeight w:val="255"/>
          <w:jc w:val="center"/>
        </w:trPr>
        <w:tc>
          <w:tcPr>
            <w:tcW w:w="2440" w:type="dxa"/>
            <w:tcBorders>
              <w:top w:val="nil"/>
              <w:left w:val="single" w:sz="4" w:space="0" w:color="auto"/>
              <w:bottom w:val="nil"/>
              <w:right w:val="nil"/>
            </w:tcBorders>
            <w:shd w:val="clear" w:color="000000" w:fill="D8D8D8"/>
            <w:vAlign w:val="bottom"/>
            <w:hideMark/>
          </w:tcPr>
          <w:p w:rsidR="00D95FA3" w:rsidRPr="00F71A09" w:rsidRDefault="00D95FA3" w:rsidP="00F7087B">
            <w:pPr>
              <w:spacing w:after="0" w:line="240" w:lineRule="auto"/>
              <w:jc w:val="center"/>
              <w:rPr>
                <w:rFonts w:ascii="Calibri" w:eastAsia="Times New Roman" w:hAnsi="Calibri" w:cs="Calibri"/>
                <w:b/>
                <w:bCs/>
                <w:color w:val="000000"/>
                <w:sz w:val="20"/>
                <w:szCs w:val="20"/>
                <w:lang w:eastAsia="es-ES"/>
              </w:rPr>
            </w:pPr>
            <w:r w:rsidRPr="00F71A09">
              <w:rPr>
                <w:rFonts w:ascii="Calibri" w:eastAsia="Times New Roman" w:hAnsi="Calibri" w:cs="Calibri"/>
                <w:b/>
                <w:bCs/>
                <w:color w:val="000000"/>
                <w:sz w:val="20"/>
                <w:szCs w:val="20"/>
                <w:lang w:eastAsia="es-ES"/>
              </w:rPr>
              <w:t>Total Nacional</w:t>
            </w:r>
          </w:p>
        </w:tc>
        <w:tc>
          <w:tcPr>
            <w:tcW w:w="1820" w:type="dxa"/>
            <w:tcBorders>
              <w:top w:val="nil"/>
              <w:left w:val="single" w:sz="4" w:space="0" w:color="auto"/>
              <w:bottom w:val="nil"/>
              <w:right w:val="nil"/>
            </w:tcBorders>
            <w:shd w:val="clear" w:color="000000" w:fill="D8D8D8"/>
            <w:vAlign w:val="bottom"/>
            <w:hideMark/>
          </w:tcPr>
          <w:p w:rsidR="00D95FA3" w:rsidRPr="00F71A09" w:rsidRDefault="00D95FA3" w:rsidP="00F7087B">
            <w:pPr>
              <w:spacing w:after="0" w:line="240" w:lineRule="auto"/>
              <w:jc w:val="center"/>
              <w:rPr>
                <w:rFonts w:ascii="Calibri" w:eastAsia="Times New Roman" w:hAnsi="Calibri" w:cs="Calibri"/>
                <w:b/>
                <w:bCs/>
                <w:color w:val="000000"/>
                <w:sz w:val="20"/>
                <w:szCs w:val="20"/>
                <w:lang w:eastAsia="es-ES"/>
              </w:rPr>
            </w:pPr>
            <w:r w:rsidRPr="00F71A09">
              <w:rPr>
                <w:rFonts w:ascii="Calibri" w:eastAsia="Times New Roman" w:hAnsi="Calibri" w:cs="Calibri"/>
                <w:b/>
                <w:bCs/>
                <w:color w:val="000000"/>
                <w:sz w:val="20"/>
                <w:szCs w:val="20"/>
                <w:lang w:eastAsia="es-ES"/>
              </w:rPr>
              <w:t>8,3%</w:t>
            </w:r>
          </w:p>
        </w:tc>
        <w:tc>
          <w:tcPr>
            <w:tcW w:w="1820" w:type="dxa"/>
            <w:tcBorders>
              <w:top w:val="nil"/>
              <w:left w:val="dotted" w:sz="4" w:space="0" w:color="auto"/>
              <w:bottom w:val="nil"/>
              <w:right w:val="single" w:sz="4" w:space="0" w:color="auto"/>
            </w:tcBorders>
            <w:shd w:val="clear" w:color="000000" w:fill="D8D8D8"/>
            <w:vAlign w:val="bottom"/>
            <w:hideMark/>
          </w:tcPr>
          <w:p w:rsidR="00D95FA3" w:rsidRPr="00F71A09" w:rsidRDefault="00D95FA3" w:rsidP="00F7087B">
            <w:pPr>
              <w:spacing w:after="0" w:line="240" w:lineRule="auto"/>
              <w:jc w:val="center"/>
              <w:rPr>
                <w:rFonts w:ascii="Calibri" w:eastAsia="Times New Roman" w:hAnsi="Calibri" w:cs="Calibri"/>
                <w:b/>
                <w:bCs/>
                <w:color w:val="000000"/>
                <w:sz w:val="20"/>
                <w:szCs w:val="20"/>
                <w:lang w:eastAsia="es-ES"/>
              </w:rPr>
            </w:pPr>
            <w:r w:rsidRPr="00F71A09">
              <w:rPr>
                <w:rFonts w:ascii="Calibri" w:eastAsia="Times New Roman" w:hAnsi="Calibri" w:cs="Calibri"/>
                <w:b/>
                <w:bCs/>
                <w:color w:val="000000"/>
                <w:sz w:val="20"/>
                <w:szCs w:val="20"/>
                <w:lang w:eastAsia="es-ES"/>
              </w:rPr>
              <w:t>3.722.125</w:t>
            </w:r>
          </w:p>
        </w:tc>
        <w:tc>
          <w:tcPr>
            <w:tcW w:w="1820" w:type="dxa"/>
            <w:tcBorders>
              <w:top w:val="nil"/>
              <w:left w:val="nil"/>
              <w:bottom w:val="nil"/>
              <w:right w:val="single" w:sz="4" w:space="0" w:color="auto"/>
            </w:tcBorders>
            <w:shd w:val="clear" w:color="000000" w:fill="D8D8D8"/>
            <w:vAlign w:val="bottom"/>
            <w:hideMark/>
          </w:tcPr>
          <w:p w:rsidR="00D95FA3" w:rsidRPr="00F71A09" w:rsidRDefault="00D95FA3" w:rsidP="00F7087B">
            <w:pPr>
              <w:spacing w:after="0" w:line="240" w:lineRule="auto"/>
              <w:jc w:val="center"/>
              <w:rPr>
                <w:rFonts w:ascii="Calibri" w:eastAsia="Times New Roman" w:hAnsi="Calibri" w:cs="Calibri"/>
                <w:b/>
                <w:bCs/>
                <w:color w:val="000000"/>
                <w:sz w:val="20"/>
                <w:szCs w:val="20"/>
                <w:lang w:eastAsia="es-ES"/>
              </w:rPr>
            </w:pPr>
            <w:r w:rsidRPr="00F71A09">
              <w:rPr>
                <w:rFonts w:ascii="Calibri" w:eastAsia="Times New Roman" w:hAnsi="Calibri" w:cs="Calibri"/>
                <w:b/>
                <w:bCs/>
                <w:color w:val="000000"/>
                <w:sz w:val="20"/>
                <w:szCs w:val="20"/>
                <w:lang w:eastAsia="es-ES"/>
              </w:rPr>
              <w:t>44.938.712</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Salta</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7,2%</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100.643</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1.406.584</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Formosa</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7,0%</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42.145</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600.229</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Ciudad de Buenos Aires</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6,5%</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198.876</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3.072.029</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Mendoza</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6,3%</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124.627</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1.969.982</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Jujuy</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6,1%</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46.517</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762.440</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Catamarca</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5,8%</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23.907</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411.824</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Santa Cruz</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5,7%</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20.177</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356.647</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Santa Fe</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5,2%</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184.068</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3.509.113</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Chubut</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5,0%</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30.140</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608.729</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Tucumán</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4,6%</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76.201</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1.674.622</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Neuquén</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4,4%</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28.953</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655.501</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San Juan</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4,4%</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34.056</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772.876</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La Rioja</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3,8%</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14.602</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388.386</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San Luis</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3,2%</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15.872</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502.000</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Río Negro</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3,1%</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22.676</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738.060</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Santiago del Estero</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2,7%</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26.594</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968.309</w:t>
            </w:r>
          </w:p>
        </w:tc>
      </w:tr>
      <w:tr w:rsidR="00D95FA3" w:rsidRPr="00F71A09" w:rsidTr="00F7087B">
        <w:trPr>
          <w:trHeight w:val="255"/>
          <w:jc w:val="center"/>
        </w:trPr>
        <w:tc>
          <w:tcPr>
            <w:tcW w:w="2440" w:type="dxa"/>
            <w:tcBorders>
              <w:top w:val="nil"/>
              <w:left w:val="single" w:sz="4" w:space="0" w:color="auto"/>
              <w:bottom w:val="single" w:sz="4" w:space="0" w:color="auto"/>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Tierra del Fuego</w:t>
            </w:r>
          </w:p>
        </w:tc>
        <w:tc>
          <w:tcPr>
            <w:tcW w:w="1820" w:type="dxa"/>
            <w:tcBorders>
              <w:top w:val="nil"/>
              <w:left w:val="single" w:sz="4" w:space="0" w:color="auto"/>
              <w:bottom w:val="single" w:sz="4" w:space="0" w:color="auto"/>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2,2%</w:t>
            </w:r>
          </w:p>
        </w:tc>
        <w:tc>
          <w:tcPr>
            <w:tcW w:w="1820" w:type="dxa"/>
            <w:tcBorders>
              <w:top w:val="nil"/>
              <w:left w:val="dotted" w:sz="4" w:space="0" w:color="auto"/>
              <w:bottom w:val="single" w:sz="4" w:space="0" w:color="auto"/>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3.766</w:t>
            </w:r>
          </w:p>
        </w:tc>
        <w:tc>
          <w:tcPr>
            <w:tcW w:w="1820" w:type="dxa"/>
            <w:tcBorders>
              <w:top w:val="nil"/>
              <w:left w:val="nil"/>
              <w:bottom w:val="single" w:sz="4" w:space="0" w:color="auto"/>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169.183</w:t>
            </w:r>
          </w:p>
        </w:tc>
      </w:tr>
    </w:tbl>
    <w:p w:rsidR="00D95FA3" w:rsidRDefault="00D95FA3" w:rsidP="00D95FA3">
      <w:pPr>
        <w:spacing w:after="0"/>
        <w:jc w:val="center"/>
        <w:rPr>
          <w:rFonts w:cs="Times New Roman"/>
          <w:sz w:val="20"/>
          <w:szCs w:val="24"/>
        </w:rPr>
      </w:pPr>
      <w:r w:rsidRPr="00ED19B3">
        <w:rPr>
          <w:rFonts w:cs="Times New Roman"/>
          <w:sz w:val="20"/>
          <w:szCs w:val="24"/>
          <w:u w:val="single"/>
        </w:rPr>
        <w:t>Fuente</w:t>
      </w:r>
      <w:r w:rsidRPr="00ED19B3">
        <w:rPr>
          <w:rFonts w:cs="Times New Roman"/>
          <w:sz w:val="20"/>
          <w:szCs w:val="24"/>
        </w:rPr>
        <w:t>: Elaboración propia en base a datos de la EPH-INDEC.</w:t>
      </w:r>
    </w:p>
    <w:p w:rsidR="00E71301" w:rsidRDefault="00E71301" w:rsidP="00E31691">
      <w:pPr>
        <w:spacing w:after="0"/>
        <w:jc w:val="both"/>
        <w:rPr>
          <w:rFonts w:cs="Times New Roman"/>
        </w:rPr>
      </w:pPr>
    </w:p>
    <w:p w:rsidR="00EB6249" w:rsidRDefault="00EB6249" w:rsidP="00D72300">
      <w:pPr>
        <w:spacing w:after="0"/>
        <w:ind w:firstLine="708"/>
        <w:jc w:val="both"/>
        <w:rPr>
          <w:rFonts w:cs="Times New Roman"/>
        </w:rPr>
      </w:pPr>
      <w:r>
        <w:rPr>
          <w:rFonts w:cs="Times New Roman"/>
        </w:rPr>
        <w:t>Tal como se presentó en el informe de pobreza anterior para el total nacional, a continuación se realiza una comparación entre la tasa de 2do trimestre 2019 respecto a la verificada en el mismo trimestre del 2018, con el objetivo de favorecer una perspectiva regional acerca del aumento de la población pobre en 3,6 millones  y de la indigencia en 1,6 millones de personas</w:t>
      </w:r>
      <w:r w:rsidR="00223A9E">
        <w:rPr>
          <w:rFonts w:cs="Times New Roman"/>
        </w:rPr>
        <w:t xml:space="preserve"> durante el último año</w:t>
      </w:r>
      <w:r>
        <w:rPr>
          <w:rFonts w:cs="Times New Roman"/>
        </w:rPr>
        <w:t xml:space="preserve">. </w:t>
      </w:r>
    </w:p>
    <w:p w:rsidR="00BA62EA" w:rsidRDefault="00EB6249" w:rsidP="00BA62EA">
      <w:pPr>
        <w:spacing w:after="0"/>
        <w:ind w:firstLine="708"/>
        <w:jc w:val="both"/>
        <w:rPr>
          <w:rFonts w:cs="Times New Roman"/>
        </w:rPr>
      </w:pPr>
      <w:r>
        <w:rPr>
          <w:rFonts w:cs="Times New Roman"/>
        </w:rPr>
        <w:t xml:space="preserve">Resulta entonces que </w:t>
      </w:r>
      <w:r w:rsidR="002011B7">
        <w:rPr>
          <w:rFonts w:cs="Times New Roman"/>
        </w:rPr>
        <w:t>Tierra del Fuego</w:t>
      </w:r>
      <w:r w:rsidR="00DA6310">
        <w:rPr>
          <w:rFonts w:cs="Times New Roman"/>
        </w:rPr>
        <w:t xml:space="preserve"> creció un +131%</w:t>
      </w:r>
      <w:r>
        <w:rPr>
          <w:rFonts w:cs="Times New Roman"/>
        </w:rPr>
        <w:t>,</w:t>
      </w:r>
      <w:r w:rsidR="002011B7">
        <w:rPr>
          <w:rFonts w:cs="Times New Roman"/>
        </w:rPr>
        <w:t xml:space="preserve"> San Luis demuestra </w:t>
      </w:r>
      <w:r w:rsidR="00967BA0">
        <w:rPr>
          <w:rFonts w:cs="Times New Roman"/>
        </w:rPr>
        <w:t>un comportamiento</w:t>
      </w:r>
      <w:r w:rsidR="002011B7">
        <w:rPr>
          <w:rFonts w:cs="Times New Roman"/>
        </w:rPr>
        <w:t xml:space="preserve"> similar (+111,8%), y le siguen Chubut (</w:t>
      </w:r>
      <w:r w:rsidR="001C2436">
        <w:rPr>
          <w:rFonts w:cs="Times New Roman"/>
        </w:rPr>
        <w:t>+</w:t>
      </w:r>
      <w:r w:rsidR="002011B7">
        <w:rPr>
          <w:rFonts w:cs="Times New Roman"/>
        </w:rPr>
        <w:t>84,3%)</w:t>
      </w:r>
      <w:r w:rsidR="007A39DE">
        <w:rPr>
          <w:rFonts w:cs="Times New Roman"/>
        </w:rPr>
        <w:t>,</w:t>
      </w:r>
      <w:r w:rsidR="002011B7">
        <w:rPr>
          <w:rFonts w:cs="Times New Roman"/>
        </w:rPr>
        <w:t xml:space="preserve"> </w:t>
      </w:r>
      <w:r w:rsidR="007A39DE">
        <w:rPr>
          <w:rFonts w:cs="Times New Roman"/>
        </w:rPr>
        <w:t xml:space="preserve"> Salta (</w:t>
      </w:r>
      <w:r w:rsidR="001C2436">
        <w:rPr>
          <w:rFonts w:cs="Times New Roman"/>
        </w:rPr>
        <w:t>+</w:t>
      </w:r>
      <w:r w:rsidR="007A39DE">
        <w:rPr>
          <w:rFonts w:cs="Times New Roman"/>
        </w:rPr>
        <w:t>69,4%), Tucumán (</w:t>
      </w:r>
      <w:r w:rsidR="001C2436">
        <w:rPr>
          <w:rFonts w:cs="Times New Roman"/>
        </w:rPr>
        <w:t>+</w:t>
      </w:r>
      <w:r w:rsidR="007A39DE">
        <w:rPr>
          <w:rFonts w:cs="Times New Roman"/>
        </w:rPr>
        <w:t>56,</w:t>
      </w:r>
      <w:r w:rsidR="006E7BF3">
        <w:rPr>
          <w:rFonts w:cs="Times New Roman"/>
        </w:rPr>
        <w:t>1%), Río N</w:t>
      </w:r>
      <w:r w:rsidR="007A39DE">
        <w:rPr>
          <w:rFonts w:cs="Times New Roman"/>
        </w:rPr>
        <w:t>egro</w:t>
      </w:r>
      <w:r w:rsidR="006E7BF3">
        <w:rPr>
          <w:rFonts w:cs="Times New Roman"/>
        </w:rPr>
        <w:t xml:space="preserve"> (</w:t>
      </w:r>
      <w:r w:rsidR="001C2436">
        <w:rPr>
          <w:rFonts w:cs="Times New Roman"/>
        </w:rPr>
        <w:t>+</w:t>
      </w:r>
      <w:r w:rsidR="006E7BF3">
        <w:rPr>
          <w:rFonts w:cs="Times New Roman"/>
        </w:rPr>
        <w:t>53,5%) y Catamarca (</w:t>
      </w:r>
      <w:r w:rsidR="001C2436">
        <w:rPr>
          <w:rFonts w:cs="Times New Roman"/>
        </w:rPr>
        <w:t>+</w:t>
      </w:r>
      <w:r w:rsidR="006E7BF3">
        <w:rPr>
          <w:rFonts w:cs="Times New Roman"/>
        </w:rPr>
        <w:t>53%). Obsérvese que en el último año las provincias australes que suelen reflejar tasas de pobreza inferiores a la media</w:t>
      </w:r>
      <w:r w:rsidR="008F1680">
        <w:rPr>
          <w:rFonts w:cs="Times New Roman"/>
        </w:rPr>
        <w:t>, se encuentran entre las jurisdicciones que experimentaron un empobrecimiento más acelerado.</w:t>
      </w:r>
      <w:r w:rsidR="00BA62EA">
        <w:rPr>
          <w:rFonts w:cs="Times New Roman"/>
        </w:rPr>
        <w:t xml:space="preserve"> </w:t>
      </w:r>
    </w:p>
    <w:p w:rsidR="00BA62EA" w:rsidRDefault="00BA62EA" w:rsidP="00BA62EA">
      <w:pPr>
        <w:spacing w:after="0"/>
        <w:ind w:firstLine="708"/>
        <w:jc w:val="both"/>
        <w:rPr>
          <w:rFonts w:cs="Times New Roman"/>
        </w:rPr>
      </w:pPr>
    </w:p>
    <w:p w:rsidR="00BA62EA" w:rsidRDefault="00BA62EA" w:rsidP="00223A9E">
      <w:pPr>
        <w:spacing w:after="0"/>
        <w:ind w:firstLine="708"/>
        <w:jc w:val="both"/>
        <w:rPr>
          <w:rFonts w:cs="Times New Roman"/>
        </w:rPr>
      </w:pPr>
      <w:r>
        <w:rPr>
          <w:rFonts w:cs="Times New Roman"/>
        </w:rPr>
        <w:t xml:space="preserve">En lo que respecta a la indigencia </w:t>
      </w:r>
      <w:r w:rsidR="00223A9E">
        <w:rPr>
          <w:rFonts w:cs="Times New Roman"/>
        </w:rPr>
        <w:t>los</w:t>
      </w:r>
      <w:r>
        <w:rPr>
          <w:rFonts w:cs="Times New Roman"/>
        </w:rPr>
        <w:t xml:space="preserve"> salto</w:t>
      </w:r>
      <w:r w:rsidR="00223A9E">
        <w:rPr>
          <w:rFonts w:cs="Times New Roman"/>
        </w:rPr>
        <w:t>s en los valores son aún más importantes</w:t>
      </w:r>
      <w:r>
        <w:rPr>
          <w:rFonts w:cs="Times New Roman"/>
        </w:rPr>
        <w:t>. Este es el caso de Formosa que más que cuadriplica los valores en tan solo un año</w:t>
      </w:r>
      <w:r w:rsidR="00223A9E">
        <w:rPr>
          <w:rFonts w:cs="Times New Roman"/>
        </w:rPr>
        <w:t xml:space="preserve"> (+325,5%)</w:t>
      </w:r>
      <w:r>
        <w:rPr>
          <w:rFonts w:cs="Times New Roman"/>
        </w:rPr>
        <w:t>. Continúan</w:t>
      </w:r>
      <w:r w:rsidR="00223A9E">
        <w:rPr>
          <w:rFonts w:cs="Times New Roman"/>
        </w:rPr>
        <w:t xml:space="preserve"> territorios</w:t>
      </w:r>
      <w:r w:rsidR="0061480A">
        <w:rPr>
          <w:rFonts w:cs="Times New Roman"/>
        </w:rPr>
        <w:t xml:space="preserve"> que</w:t>
      </w:r>
      <w:r w:rsidR="00223A9E">
        <w:rPr>
          <w:rFonts w:cs="Times New Roman"/>
        </w:rPr>
        <w:t xml:space="preserve"> superaron la duplicación de sus tasas, como:</w:t>
      </w:r>
      <w:r w:rsidR="001C2436">
        <w:rPr>
          <w:rFonts w:cs="Times New Roman"/>
        </w:rPr>
        <w:t xml:space="preserve"> La Pampa (+177%)</w:t>
      </w:r>
      <w:r>
        <w:rPr>
          <w:rFonts w:cs="Times New Roman"/>
        </w:rPr>
        <w:t>, Misione</w:t>
      </w:r>
      <w:r w:rsidR="001C2436">
        <w:rPr>
          <w:rFonts w:cs="Times New Roman"/>
        </w:rPr>
        <w:t>s (+164,3%), Córdoba (+162,2%),</w:t>
      </w:r>
      <w:r>
        <w:rPr>
          <w:rFonts w:cs="Times New Roman"/>
        </w:rPr>
        <w:t xml:space="preserve"> la Ciudad de Buenos Aires (+141,5%)</w:t>
      </w:r>
      <w:r w:rsidR="001C2436">
        <w:rPr>
          <w:rFonts w:cs="Times New Roman"/>
        </w:rPr>
        <w:t>, La Rioja (130,1%), Chaco (127,4%) y Santa Cruz (+112,4</w:t>
      </w:r>
      <w:r w:rsidR="001D0A57">
        <w:rPr>
          <w:rFonts w:cs="Times New Roman"/>
        </w:rPr>
        <w:t>%).</w:t>
      </w:r>
      <w:r>
        <w:rPr>
          <w:rFonts w:cs="Times New Roman"/>
        </w:rPr>
        <w:t xml:space="preserve"> </w:t>
      </w:r>
      <w:r w:rsidR="009716D0">
        <w:rPr>
          <w:rFonts w:cs="Times New Roman"/>
        </w:rPr>
        <w:t xml:space="preserve">En este grupo cabe </w:t>
      </w:r>
      <w:r w:rsidR="00223A9E">
        <w:rPr>
          <w:rFonts w:cs="Times New Roman"/>
        </w:rPr>
        <w:t>destacar</w:t>
      </w:r>
      <w:r w:rsidR="009716D0">
        <w:rPr>
          <w:rFonts w:cs="Times New Roman"/>
        </w:rPr>
        <w:t xml:space="preserve"> la presencia del distrito que </w:t>
      </w:r>
      <w:r w:rsidR="00223A9E">
        <w:rPr>
          <w:rFonts w:cs="Times New Roman"/>
        </w:rPr>
        <w:t>exhibe</w:t>
      </w:r>
      <w:r w:rsidR="009716D0">
        <w:rPr>
          <w:rFonts w:cs="Times New Roman"/>
        </w:rPr>
        <w:t xml:space="preserve"> una situación relativamente mejor que el resto nacional en materia de condiciones de vi</w:t>
      </w:r>
      <w:r w:rsidR="00223A9E">
        <w:rPr>
          <w:rFonts w:cs="Times New Roman"/>
        </w:rPr>
        <w:t>d</w:t>
      </w:r>
      <w:r w:rsidR="009716D0">
        <w:rPr>
          <w:rFonts w:cs="Times New Roman"/>
        </w:rPr>
        <w:t xml:space="preserve">a, la </w:t>
      </w:r>
      <w:r w:rsidR="00223A9E">
        <w:rPr>
          <w:rFonts w:cs="Times New Roman"/>
        </w:rPr>
        <w:t>C</w:t>
      </w:r>
      <w:r w:rsidR="009716D0">
        <w:rPr>
          <w:rFonts w:cs="Times New Roman"/>
        </w:rPr>
        <w:t>iudad de Buenos de Aires</w:t>
      </w:r>
      <w:r w:rsidR="0061480A">
        <w:rPr>
          <w:rFonts w:cs="Times New Roman"/>
        </w:rPr>
        <w:t>,</w:t>
      </w:r>
      <w:r w:rsidR="009716D0">
        <w:rPr>
          <w:rFonts w:cs="Times New Roman"/>
        </w:rPr>
        <w:t xml:space="preserve"> </w:t>
      </w:r>
      <w:r w:rsidR="00223A9E">
        <w:rPr>
          <w:rFonts w:cs="Times New Roman"/>
        </w:rPr>
        <w:t>así como</w:t>
      </w:r>
      <w:r w:rsidR="009716D0">
        <w:rPr>
          <w:rFonts w:cs="Times New Roman"/>
        </w:rPr>
        <w:t xml:space="preserve"> también provincias que forma</w:t>
      </w:r>
      <w:r w:rsidR="00223A9E">
        <w:rPr>
          <w:rFonts w:cs="Times New Roman"/>
        </w:rPr>
        <w:t>n</w:t>
      </w:r>
      <w:r w:rsidR="009716D0">
        <w:rPr>
          <w:rFonts w:cs="Times New Roman"/>
        </w:rPr>
        <w:t xml:space="preserve"> parte de</w:t>
      </w:r>
      <w:r w:rsidR="005063E0">
        <w:rPr>
          <w:rFonts w:cs="Times New Roman"/>
        </w:rPr>
        <w:t xml:space="preserve">l espacio económico más rico de la Argentina, la fértil pampa húmeda, que </w:t>
      </w:r>
      <w:r w:rsidR="009E5EF9">
        <w:rPr>
          <w:rFonts w:cs="Times New Roman"/>
        </w:rPr>
        <w:t xml:space="preserve">en el último año </w:t>
      </w:r>
      <w:r w:rsidR="00120D6D">
        <w:rPr>
          <w:rFonts w:cs="Times New Roman"/>
        </w:rPr>
        <w:t xml:space="preserve">presentó </w:t>
      </w:r>
      <w:r w:rsidR="005063E0">
        <w:rPr>
          <w:rFonts w:cs="Times New Roman"/>
        </w:rPr>
        <w:t xml:space="preserve">un récord histórico en la cosecha de </w:t>
      </w:r>
      <w:r w:rsidR="00BC37D0">
        <w:rPr>
          <w:rFonts w:cs="Times New Roman"/>
        </w:rPr>
        <w:t>granos y oleaginosas a</w:t>
      </w:r>
      <w:r w:rsidR="00120D6D">
        <w:rPr>
          <w:rFonts w:cs="Times New Roman"/>
        </w:rPr>
        <w:t>l tiempo que vio</w:t>
      </w:r>
      <w:r w:rsidR="005063E0">
        <w:rPr>
          <w:rFonts w:cs="Times New Roman"/>
        </w:rPr>
        <w:t xml:space="preserve"> duplicar el hambre</w:t>
      </w:r>
      <w:r w:rsidR="0061480A">
        <w:rPr>
          <w:rFonts w:cs="Times New Roman"/>
        </w:rPr>
        <w:t>. Una vez más</w:t>
      </w:r>
      <w:r w:rsidR="00120D6D">
        <w:rPr>
          <w:rFonts w:cs="Times New Roman"/>
        </w:rPr>
        <w:t xml:space="preserve"> queda expuesto que el aspecto medular de los fenómenos de pobreza e indigencia es el</w:t>
      </w:r>
      <w:r w:rsidR="005063E0">
        <w:rPr>
          <w:rFonts w:cs="Times New Roman"/>
        </w:rPr>
        <w:t xml:space="preserve"> carácter </w:t>
      </w:r>
      <w:r w:rsidR="009716D0">
        <w:rPr>
          <w:rFonts w:cs="Times New Roman"/>
        </w:rPr>
        <w:t xml:space="preserve">desigual </w:t>
      </w:r>
      <w:r w:rsidR="00120D6D">
        <w:rPr>
          <w:rFonts w:cs="Times New Roman"/>
        </w:rPr>
        <w:t>que organiza los procesos productivos en cada uno de los territorios.</w:t>
      </w:r>
    </w:p>
    <w:p w:rsidR="004E1693" w:rsidRDefault="004E1693" w:rsidP="00EB6249">
      <w:pPr>
        <w:spacing w:after="0"/>
        <w:ind w:firstLine="708"/>
        <w:jc w:val="both"/>
        <w:rPr>
          <w:rFonts w:cs="Times New Roman"/>
        </w:rPr>
      </w:pPr>
    </w:p>
    <w:p w:rsidR="00BA62EA" w:rsidRDefault="006E7BF3" w:rsidP="00EB6249">
      <w:pPr>
        <w:spacing w:after="0"/>
        <w:ind w:firstLine="708"/>
        <w:jc w:val="both"/>
        <w:rPr>
          <w:rFonts w:cs="Times New Roman"/>
        </w:rPr>
      </w:pPr>
      <w:r>
        <w:rPr>
          <w:rFonts w:cs="Times New Roman"/>
        </w:rPr>
        <w:t xml:space="preserve"> </w:t>
      </w:r>
      <w:r w:rsidR="002011B7">
        <w:rPr>
          <w:rFonts w:cs="Times New Roman"/>
        </w:rPr>
        <w:t xml:space="preserve">En términos </w:t>
      </w:r>
      <w:r w:rsidR="004E1693">
        <w:rPr>
          <w:rFonts w:cs="Times New Roman"/>
        </w:rPr>
        <w:t>poblacionales</w:t>
      </w:r>
      <w:r w:rsidR="002011B7">
        <w:rPr>
          <w:rFonts w:cs="Times New Roman"/>
        </w:rPr>
        <w:t>,</w:t>
      </w:r>
      <w:r w:rsidR="004E1693">
        <w:rPr>
          <w:rFonts w:cs="Times New Roman"/>
        </w:rPr>
        <w:t xml:space="preserve"> por una cuestión de peso demográfico</w:t>
      </w:r>
      <w:r w:rsidR="00536D13">
        <w:rPr>
          <w:rFonts w:cs="Times New Roman"/>
        </w:rPr>
        <w:t>, las provincias más habit</w:t>
      </w:r>
      <w:r w:rsidR="00BA62EA">
        <w:rPr>
          <w:rFonts w:cs="Times New Roman"/>
        </w:rPr>
        <w:t xml:space="preserve">adas son las que explican la magnitud en el aumento de la pobreza y el hambre. En primer lugar, </w:t>
      </w:r>
      <w:r w:rsidR="002011B7">
        <w:rPr>
          <w:rFonts w:cs="Times New Roman"/>
        </w:rPr>
        <w:t xml:space="preserve">la provincia de Buenos Aires </w:t>
      </w:r>
      <w:r w:rsidR="00C07582">
        <w:rPr>
          <w:rFonts w:cs="Times New Roman"/>
        </w:rPr>
        <w:t>expone incrementos en</w:t>
      </w:r>
      <w:r w:rsidR="002011B7">
        <w:rPr>
          <w:rFonts w:cs="Times New Roman"/>
        </w:rPr>
        <w:t xml:space="preserve"> la cantidad de personas pobres </w:t>
      </w:r>
      <w:r w:rsidR="00C07582">
        <w:rPr>
          <w:rFonts w:cs="Times New Roman"/>
        </w:rPr>
        <w:t>en</w:t>
      </w:r>
      <w:r w:rsidR="00BC37D0">
        <w:rPr>
          <w:rFonts w:cs="Times New Roman"/>
        </w:rPr>
        <w:t xml:space="preserve"> 1.316.673</w:t>
      </w:r>
      <w:r w:rsidR="002011B7">
        <w:rPr>
          <w:rFonts w:cs="Times New Roman"/>
        </w:rPr>
        <w:t xml:space="preserve"> </w:t>
      </w:r>
      <w:r w:rsidR="00E37C6C">
        <w:rPr>
          <w:rFonts w:cs="Times New Roman"/>
        </w:rPr>
        <w:t xml:space="preserve">y </w:t>
      </w:r>
      <w:r w:rsidR="002011B7">
        <w:rPr>
          <w:rFonts w:cs="Times New Roman"/>
        </w:rPr>
        <w:t xml:space="preserve">de indigentes en 663.553. Luego se encuentra Córdoba (+400.485 nuevos pobres, +255.948 nuevos indigentes), y Santa Fe (+323. 166 nuevos pobres, aunque con una disminución en el número de personas indigentes).  </w:t>
      </w:r>
    </w:p>
    <w:p w:rsidR="008C1965" w:rsidRDefault="00507823" w:rsidP="00EB6249">
      <w:pPr>
        <w:spacing w:after="0"/>
        <w:ind w:firstLine="708"/>
        <w:jc w:val="both"/>
        <w:rPr>
          <w:rFonts w:cs="Times New Roman"/>
        </w:rPr>
      </w:pPr>
      <w:r>
        <w:rPr>
          <w:rFonts w:cs="Times New Roman"/>
        </w:rPr>
        <w:t xml:space="preserve">Pocas son las provincias que evidenciaron caídas en sus tasas o niveles de pobreza. Entre ellas se </w:t>
      </w:r>
      <w:r w:rsidR="00967BA0">
        <w:rPr>
          <w:rFonts w:cs="Times New Roman"/>
        </w:rPr>
        <w:t>halla</w:t>
      </w:r>
      <w:r>
        <w:rPr>
          <w:rFonts w:cs="Times New Roman"/>
        </w:rPr>
        <w:t xml:space="preserve"> San Juan (-6,7%) y Santiago del Estero (-4,7%), con 12.444 y 17.178 menos pobres que </w:t>
      </w:r>
      <w:r w:rsidR="00967BA0">
        <w:rPr>
          <w:rFonts w:cs="Times New Roman"/>
        </w:rPr>
        <w:t xml:space="preserve">lo asentado </w:t>
      </w:r>
      <w:r>
        <w:rPr>
          <w:rFonts w:cs="Times New Roman"/>
        </w:rPr>
        <w:t xml:space="preserve">un año atrás, respectivamente. </w:t>
      </w:r>
    </w:p>
    <w:p w:rsidR="008C1965" w:rsidRDefault="008C1965" w:rsidP="00E31691">
      <w:pPr>
        <w:spacing w:after="0"/>
        <w:jc w:val="both"/>
        <w:rPr>
          <w:rFonts w:cs="Times New Roman"/>
        </w:rPr>
      </w:pPr>
    </w:p>
    <w:p w:rsidR="00D95FA3" w:rsidRDefault="00D95FA3" w:rsidP="00D95FA3">
      <w:pPr>
        <w:spacing w:after="0"/>
        <w:jc w:val="both"/>
        <w:rPr>
          <w:rFonts w:cs="Times New Roman"/>
          <w:b/>
          <w:szCs w:val="24"/>
        </w:rPr>
      </w:pPr>
      <w:r>
        <w:rPr>
          <w:rFonts w:cs="Times New Roman"/>
          <w:b/>
          <w:szCs w:val="24"/>
        </w:rPr>
        <w:t>Cuadro Nº3</w:t>
      </w:r>
      <w:r w:rsidRPr="00ED19B3">
        <w:rPr>
          <w:rFonts w:cs="Times New Roman"/>
          <w:b/>
          <w:szCs w:val="24"/>
        </w:rPr>
        <w:t xml:space="preserve">: Pobreza e Indigencia, </w:t>
      </w:r>
      <w:r>
        <w:rPr>
          <w:rFonts w:cs="Times New Roman"/>
          <w:b/>
          <w:szCs w:val="24"/>
        </w:rPr>
        <w:t>comparación interanual de</w:t>
      </w:r>
      <w:r w:rsidRPr="00ED19B3">
        <w:rPr>
          <w:rFonts w:cs="Times New Roman"/>
          <w:b/>
          <w:szCs w:val="24"/>
        </w:rPr>
        <w:t xml:space="preserve"> tasas y </w:t>
      </w:r>
      <w:r>
        <w:rPr>
          <w:rFonts w:cs="Times New Roman"/>
          <w:b/>
          <w:szCs w:val="24"/>
        </w:rPr>
        <w:t>diferencia absoluta de</w:t>
      </w:r>
      <w:r w:rsidRPr="00ED19B3">
        <w:rPr>
          <w:rFonts w:cs="Times New Roman"/>
          <w:b/>
          <w:szCs w:val="24"/>
        </w:rPr>
        <w:t xml:space="preserve"> personas</w:t>
      </w:r>
      <w:r>
        <w:rPr>
          <w:rFonts w:cs="Times New Roman"/>
          <w:b/>
          <w:szCs w:val="24"/>
        </w:rPr>
        <w:t xml:space="preserve"> (orden descendente según tasas de pobreza)</w:t>
      </w:r>
      <w:r w:rsidRPr="00ED19B3">
        <w:rPr>
          <w:rFonts w:cs="Times New Roman"/>
          <w:b/>
          <w:szCs w:val="24"/>
        </w:rPr>
        <w:t>. Por provincias</w:t>
      </w:r>
      <w:r>
        <w:rPr>
          <w:rFonts w:cs="Times New Roman"/>
          <w:b/>
          <w:szCs w:val="24"/>
        </w:rPr>
        <w:t xml:space="preserve"> y total nacional. 2</w:t>
      </w:r>
      <w:r w:rsidRPr="00ED19B3">
        <w:rPr>
          <w:rFonts w:cs="Times New Roman"/>
          <w:b/>
          <w:szCs w:val="24"/>
        </w:rPr>
        <w:t xml:space="preserve">º </w:t>
      </w:r>
      <w:r>
        <w:rPr>
          <w:rFonts w:cs="Times New Roman"/>
          <w:b/>
          <w:szCs w:val="24"/>
        </w:rPr>
        <w:t>Trimestre 2018 vs 2</w:t>
      </w:r>
      <w:r w:rsidRPr="00ED19B3">
        <w:rPr>
          <w:rFonts w:cs="Times New Roman"/>
          <w:b/>
          <w:szCs w:val="24"/>
        </w:rPr>
        <w:t xml:space="preserve">º </w:t>
      </w:r>
      <w:r>
        <w:rPr>
          <w:rFonts w:cs="Times New Roman"/>
          <w:b/>
          <w:szCs w:val="24"/>
        </w:rPr>
        <w:t>Trimestre 2019</w:t>
      </w:r>
      <w:r w:rsidRPr="00ED19B3">
        <w:rPr>
          <w:rFonts w:cs="Times New Roman"/>
          <w:b/>
          <w:szCs w:val="24"/>
        </w:rPr>
        <w:t>.</w:t>
      </w:r>
    </w:p>
    <w:tbl>
      <w:tblPr>
        <w:tblW w:w="7760" w:type="dxa"/>
        <w:jc w:val="center"/>
        <w:tblCellMar>
          <w:left w:w="70" w:type="dxa"/>
          <w:right w:w="70" w:type="dxa"/>
        </w:tblCellMar>
        <w:tblLook w:val="04A0"/>
      </w:tblPr>
      <w:tblGrid>
        <w:gridCol w:w="2380"/>
        <w:gridCol w:w="2080"/>
        <w:gridCol w:w="1820"/>
        <w:gridCol w:w="1480"/>
      </w:tblGrid>
      <w:tr w:rsidR="00D95FA3" w:rsidRPr="00F71A09" w:rsidTr="00F7087B">
        <w:trPr>
          <w:trHeight w:val="585"/>
          <w:jc w:val="center"/>
        </w:trPr>
        <w:tc>
          <w:tcPr>
            <w:tcW w:w="2380"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sidRPr="00F71A09">
              <w:rPr>
                <w:rFonts w:ascii="Calibri" w:eastAsia="Times New Roman" w:hAnsi="Calibri" w:cs="Calibri"/>
                <w:b/>
                <w:bCs/>
                <w:color w:val="FFFFFF"/>
                <w:sz w:val="20"/>
                <w:szCs w:val="20"/>
                <w:lang w:eastAsia="es-ES"/>
              </w:rPr>
              <w:t> </w:t>
            </w:r>
          </w:p>
        </w:tc>
        <w:tc>
          <w:tcPr>
            <w:tcW w:w="5380" w:type="dxa"/>
            <w:gridSpan w:val="3"/>
            <w:tcBorders>
              <w:top w:val="single" w:sz="4" w:space="0" w:color="auto"/>
              <w:left w:val="nil"/>
              <w:bottom w:val="single" w:sz="4" w:space="0" w:color="auto"/>
              <w:right w:val="nil"/>
            </w:tcBorders>
            <w:shd w:val="clear" w:color="000000" w:fill="0070C0"/>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sidRPr="00F71A09">
              <w:rPr>
                <w:rFonts w:ascii="Calibri" w:eastAsia="Times New Roman" w:hAnsi="Calibri" w:cs="Calibri"/>
                <w:b/>
                <w:bCs/>
                <w:color w:val="FFFFFF"/>
                <w:sz w:val="20"/>
                <w:szCs w:val="20"/>
                <w:lang w:eastAsia="es-ES"/>
              </w:rPr>
              <w:t xml:space="preserve">Variación % a/a </w:t>
            </w:r>
            <w:r w:rsidRPr="00F71A09">
              <w:rPr>
                <w:rFonts w:ascii="Calibri" w:eastAsia="Times New Roman" w:hAnsi="Calibri" w:cs="Calibri"/>
                <w:b/>
                <w:bCs/>
                <w:color w:val="FFFFFF"/>
                <w:sz w:val="20"/>
                <w:szCs w:val="20"/>
                <w:lang w:eastAsia="es-ES"/>
              </w:rPr>
              <w:br/>
              <w:t>2</w:t>
            </w:r>
            <w:r>
              <w:rPr>
                <w:rFonts w:ascii="Calibri" w:eastAsia="Times New Roman" w:hAnsi="Calibri" w:cs="Calibri"/>
                <w:b/>
                <w:bCs/>
                <w:color w:val="FFFFFF"/>
                <w:sz w:val="20"/>
                <w:szCs w:val="20"/>
                <w:lang w:eastAsia="es-ES"/>
              </w:rPr>
              <w:t>T</w:t>
            </w:r>
            <w:r w:rsidRPr="00F71A09">
              <w:rPr>
                <w:rFonts w:ascii="Calibri" w:eastAsia="Times New Roman" w:hAnsi="Calibri" w:cs="Calibri"/>
                <w:b/>
                <w:bCs/>
                <w:color w:val="FFFFFF"/>
                <w:sz w:val="20"/>
                <w:szCs w:val="20"/>
                <w:lang w:eastAsia="es-ES"/>
              </w:rPr>
              <w:t xml:space="preserve"> 2018 vs. 2</w:t>
            </w:r>
            <w:r>
              <w:rPr>
                <w:rFonts w:ascii="Calibri" w:eastAsia="Times New Roman" w:hAnsi="Calibri" w:cs="Calibri"/>
                <w:b/>
                <w:bCs/>
                <w:color w:val="FFFFFF"/>
                <w:sz w:val="20"/>
                <w:szCs w:val="20"/>
                <w:lang w:eastAsia="es-ES"/>
              </w:rPr>
              <w:t>T</w:t>
            </w:r>
            <w:r w:rsidRPr="00F71A09">
              <w:rPr>
                <w:rFonts w:ascii="Calibri" w:eastAsia="Times New Roman" w:hAnsi="Calibri" w:cs="Calibri"/>
                <w:b/>
                <w:bCs/>
                <w:color w:val="FFFFFF"/>
                <w:sz w:val="20"/>
                <w:szCs w:val="20"/>
                <w:lang w:eastAsia="es-ES"/>
              </w:rPr>
              <w:t xml:space="preserve"> 2019</w:t>
            </w:r>
          </w:p>
        </w:tc>
      </w:tr>
      <w:tr w:rsidR="00D95FA3" w:rsidRPr="00F71A09" w:rsidTr="00F7087B">
        <w:trPr>
          <w:trHeight w:val="300"/>
          <w:jc w:val="center"/>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D95FA3" w:rsidRPr="00F71A09" w:rsidRDefault="00D95FA3" w:rsidP="00F7087B">
            <w:pPr>
              <w:spacing w:after="0" w:line="240" w:lineRule="auto"/>
              <w:rPr>
                <w:rFonts w:ascii="Calibri" w:eastAsia="Times New Roman" w:hAnsi="Calibri" w:cs="Calibri"/>
                <w:b/>
                <w:bCs/>
                <w:color w:val="FFFFFF"/>
                <w:sz w:val="20"/>
                <w:szCs w:val="20"/>
                <w:lang w:eastAsia="es-ES"/>
              </w:rPr>
            </w:pPr>
          </w:p>
        </w:tc>
        <w:tc>
          <w:tcPr>
            <w:tcW w:w="3900" w:type="dxa"/>
            <w:gridSpan w:val="2"/>
            <w:tcBorders>
              <w:top w:val="single" w:sz="4" w:space="0" w:color="auto"/>
              <w:left w:val="nil"/>
              <w:bottom w:val="single" w:sz="4" w:space="0" w:color="auto"/>
              <w:right w:val="nil"/>
            </w:tcBorders>
            <w:shd w:val="clear" w:color="000000" w:fill="0070C0"/>
            <w:noWrap/>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sidRPr="00F71A09">
              <w:rPr>
                <w:rFonts w:ascii="Calibri" w:eastAsia="Times New Roman" w:hAnsi="Calibri" w:cs="Calibri"/>
                <w:b/>
                <w:bCs/>
                <w:color w:val="FFFFFF"/>
                <w:sz w:val="20"/>
                <w:szCs w:val="20"/>
                <w:lang w:eastAsia="es-ES"/>
              </w:rPr>
              <w:t>Pobreza</w:t>
            </w:r>
          </w:p>
        </w:tc>
        <w:tc>
          <w:tcPr>
            <w:tcW w:w="1480" w:type="dxa"/>
            <w:vMerge w:val="restart"/>
            <w:tcBorders>
              <w:top w:val="nil"/>
              <w:left w:val="single" w:sz="4" w:space="0" w:color="auto"/>
              <w:bottom w:val="single" w:sz="4" w:space="0" w:color="000000"/>
              <w:right w:val="single" w:sz="4" w:space="0" w:color="auto"/>
            </w:tcBorders>
            <w:shd w:val="clear" w:color="000000" w:fill="0070C0"/>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sidRPr="00F71A09">
              <w:rPr>
                <w:rFonts w:ascii="Calibri" w:eastAsia="Times New Roman" w:hAnsi="Calibri" w:cs="Calibri"/>
                <w:b/>
                <w:bCs/>
                <w:color w:val="FFFFFF"/>
                <w:sz w:val="20"/>
                <w:szCs w:val="20"/>
                <w:lang w:eastAsia="es-ES"/>
              </w:rPr>
              <w:t xml:space="preserve">Total </w:t>
            </w:r>
            <w:r w:rsidRPr="00F71A09">
              <w:rPr>
                <w:rFonts w:ascii="Calibri" w:eastAsia="Times New Roman" w:hAnsi="Calibri" w:cs="Calibri"/>
                <w:b/>
                <w:bCs/>
                <w:color w:val="FFFFFF"/>
                <w:sz w:val="20"/>
                <w:szCs w:val="20"/>
                <w:lang w:eastAsia="es-ES"/>
              </w:rPr>
              <w:br/>
              <w:t>Población</w:t>
            </w:r>
          </w:p>
        </w:tc>
      </w:tr>
      <w:tr w:rsidR="00D95FA3" w:rsidRPr="00F71A09" w:rsidTr="00F7087B">
        <w:trPr>
          <w:trHeight w:val="255"/>
          <w:jc w:val="center"/>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D95FA3" w:rsidRPr="00F71A09" w:rsidRDefault="00D95FA3" w:rsidP="00F7087B">
            <w:pPr>
              <w:spacing w:after="0" w:line="240" w:lineRule="auto"/>
              <w:rPr>
                <w:rFonts w:ascii="Calibri" w:eastAsia="Times New Roman" w:hAnsi="Calibri" w:cs="Calibri"/>
                <w:b/>
                <w:bCs/>
                <w:color w:val="FFFFFF"/>
                <w:sz w:val="20"/>
                <w:szCs w:val="20"/>
                <w:lang w:eastAsia="es-ES"/>
              </w:rPr>
            </w:pPr>
          </w:p>
        </w:tc>
        <w:tc>
          <w:tcPr>
            <w:tcW w:w="2080" w:type="dxa"/>
            <w:tcBorders>
              <w:top w:val="nil"/>
              <w:left w:val="nil"/>
              <w:bottom w:val="single" w:sz="4" w:space="0" w:color="auto"/>
              <w:right w:val="nil"/>
            </w:tcBorders>
            <w:shd w:val="clear" w:color="000000" w:fill="0070C0"/>
            <w:noWrap/>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sidRPr="00F71A09">
              <w:rPr>
                <w:rFonts w:ascii="Calibri" w:eastAsia="Times New Roman" w:hAnsi="Calibri" w:cs="Calibri"/>
                <w:b/>
                <w:bCs/>
                <w:color w:val="FFFFFF"/>
                <w:sz w:val="20"/>
                <w:szCs w:val="20"/>
                <w:lang w:eastAsia="es-ES"/>
              </w:rPr>
              <w:t>Dif. Absoluta</w:t>
            </w:r>
          </w:p>
        </w:tc>
        <w:tc>
          <w:tcPr>
            <w:tcW w:w="1820" w:type="dxa"/>
            <w:tcBorders>
              <w:top w:val="nil"/>
              <w:left w:val="single" w:sz="4" w:space="0" w:color="auto"/>
              <w:bottom w:val="single" w:sz="4" w:space="0" w:color="auto"/>
              <w:right w:val="nil"/>
            </w:tcBorders>
            <w:shd w:val="clear" w:color="000000" w:fill="0070C0"/>
            <w:noWrap/>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sidRPr="00F71A09">
              <w:rPr>
                <w:rFonts w:ascii="Calibri" w:eastAsia="Times New Roman" w:hAnsi="Calibri" w:cs="Calibri"/>
                <w:b/>
                <w:bCs/>
                <w:color w:val="FFFFFF"/>
                <w:sz w:val="20"/>
                <w:szCs w:val="20"/>
                <w:lang w:eastAsia="es-ES"/>
              </w:rPr>
              <w:t>% Tasas</w:t>
            </w:r>
          </w:p>
        </w:tc>
        <w:tc>
          <w:tcPr>
            <w:tcW w:w="1480" w:type="dxa"/>
            <w:vMerge/>
            <w:tcBorders>
              <w:top w:val="nil"/>
              <w:left w:val="single" w:sz="4" w:space="0" w:color="auto"/>
              <w:bottom w:val="single" w:sz="4" w:space="0" w:color="000000"/>
              <w:right w:val="single" w:sz="4" w:space="0" w:color="auto"/>
            </w:tcBorders>
            <w:vAlign w:val="center"/>
            <w:hideMark/>
          </w:tcPr>
          <w:p w:rsidR="00D95FA3" w:rsidRPr="00F71A09" w:rsidRDefault="00D95FA3" w:rsidP="00F7087B">
            <w:pPr>
              <w:spacing w:after="0" w:line="240" w:lineRule="auto"/>
              <w:rPr>
                <w:rFonts w:ascii="Calibri" w:eastAsia="Times New Roman" w:hAnsi="Calibri" w:cs="Calibri"/>
                <w:b/>
                <w:bCs/>
                <w:color w:val="FFFFFF"/>
                <w:sz w:val="20"/>
                <w:szCs w:val="20"/>
                <w:lang w:eastAsia="es-ES"/>
              </w:rPr>
            </w:pP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Tierra del Fuego</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23.583</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131,0%</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4.239</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San Luis</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102.660</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111,8%</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6.371</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Chubut</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105.729</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84,3%</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10.349</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Salta</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254.539</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69,4%</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18.052</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Tucumán</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271.447</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56,1%</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20.234</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Río Negro</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92.667</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53,5%</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9.657</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Catamarca</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65.401</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53,0%</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3.672</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La Pampa</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46.586</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49,7%</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3.044</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Chaco</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173.304</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46,0%</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12.139</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Santa Cruz</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29.405</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45,0%</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9.054</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Misiones</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145.547</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38,9%</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14.185</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Córdoba</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400.485</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38,3%</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38.395</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Entre Ríos</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156.136</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35,5%</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12.827</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Formosa</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62.713</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34,6%</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5.100</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Corrientes</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114.847</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30,7%</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9.968</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Santa Fe</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323.166</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29,5%</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27.599</w:t>
            </w:r>
          </w:p>
        </w:tc>
      </w:tr>
      <w:tr w:rsidR="00D95FA3" w:rsidRPr="00F71A09" w:rsidTr="00F7087B">
        <w:trPr>
          <w:trHeight w:val="255"/>
          <w:jc w:val="center"/>
        </w:trPr>
        <w:tc>
          <w:tcPr>
            <w:tcW w:w="2380" w:type="dxa"/>
            <w:tcBorders>
              <w:top w:val="nil"/>
              <w:left w:val="single" w:sz="4" w:space="0" w:color="auto"/>
              <w:bottom w:val="nil"/>
              <w:right w:val="nil"/>
            </w:tcBorders>
            <w:shd w:val="clear" w:color="000000" w:fill="D8D8D8"/>
            <w:vAlign w:val="bottom"/>
            <w:hideMark/>
          </w:tcPr>
          <w:p w:rsidR="00D95FA3" w:rsidRPr="00F71A09" w:rsidRDefault="00D95FA3" w:rsidP="00F7087B">
            <w:pPr>
              <w:spacing w:after="0" w:line="240" w:lineRule="auto"/>
              <w:jc w:val="center"/>
              <w:rPr>
                <w:rFonts w:ascii="Calibri" w:eastAsia="Times New Roman" w:hAnsi="Calibri" w:cs="Calibri"/>
                <w:b/>
                <w:bCs/>
                <w:color w:val="000000"/>
                <w:sz w:val="20"/>
                <w:szCs w:val="20"/>
                <w:lang w:eastAsia="es-ES"/>
              </w:rPr>
            </w:pPr>
            <w:r w:rsidRPr="00F71A09">
              <w:rPr>
                <w:rFonts w:ascii="Calibri" w:eastAsia="Times New Roman" w:hAnsi="Calibri" w:cs="Calibri"/>
                <w:b/>
                <w:bCs/>
                <w:color w:val="000000"/>
                <w:sz w:val="20"/>
                <w:szCs w:val="20"/>
                <w:lang w:eastAsia="es-ES"/>
              </w:rPr>
              <w:t>Total Nacional</w:t>
            </w:r>
          </w:p>
        </w:tc>
        <w:tc>
          <w:tcPr>
            <w:tcW w:w="2080" w:type="dxa"/>
            <w:tcBorders>
              <w:top w:val="nil"/>
              <w:left w:val="single" w:sz="4" w:space="0" w:color="auto"/>
              <w:bottom w:val="nil"/>
              <w:right w:val="nil"/>
            </w:tcBorders>
            <w:shd w:val="clear" w:color="000000" w:fill="D8D8D8"/>
            <w:vAlign w:val="bottom"/>
            <w:hideMark/>
          </w:tcPr>
          <w:p w:rsidR="00D95FA3" w:rsidRPr="00F71A09" w:rsidRDefault="00D95FA3" w:rsidP="00F7087B">
            <w:pPr>
              <w:spacing w:after="0" w:line="240" w:lineRule="auto"/>
              <w:jc w:val="center"/>
              <w:rPr>
                <w:rFonts w:ascii="Calibri" w:eastAsia="Times New Roman" w:hAnsi="Calibri" w:cs="Calibri"/>
                <w:b/>
                <w:bCs/>
                <w:color w:val="000000"/>
                <w:sz w:val="20"/>
                <w:szCs w:val="20"/>
                <w:lang w:eastAsia="es-ES"/>
              </w:rPr>
            </w:pPr>
            <w:r w:rsidRPr="00F71A09">
              <w:rPr>
                <w:rFonts w:ascii="Calibri" w:eastAsia="Times New Roman" w:hAnsi="Calibri" w:cs="Calibri"/>
                <w:b/>
                <w:bCs/>
                <w:color w:val="000000"/>
                <w:sz w:val="20"/>
                <w:szCs w:val="20"/>
                <w:lang w:eastAsia="es-ES"/>
              </w:rPr>
              <w:t>3.597.143</w:t>
            </w:r>
          </w:p>
        </w:tc>
        <w:tc>
          <w:tcPr>
            <w:tcW w:w="1820" w:type="dxa"/>
            <w:tcBorders>
              <w:top w:val="nil"/>
              <w:left w:val="single" w:sz="4" w:space="0" w:color="auto"/>
              <w:bottom w:val="nil"/>
              <w:right w:val="nil"/>
            </w:tcBorders>
            <w:shd w:val="clear" w:color="000000" w:fill="D8D8D8"/>
            <w:vAlign w:val="bottom"/>
            <w:hideMark/>
          </w:tcPr>
          <w:p w:rsidR="00D95FA3" w:rsidRPr="00F71A09" w:rsidRDefault="00D95FA3" w:rsidP="00F7087B">
            <w:pPr>
              <w:spacing w:after="0" w:line="240" w:lineRule="auto"/>
              <w:jc w:val="center"/>
              <w:rPr>
                <w:rFonts w:ascii="Calibri" w:eastAsia="Times New Roman" w:hAnsi="Calibri" w:cs="Calibri"/>
                <w:b/>
                <w:bCs/>
                <w:color w:val="000000"/>
                <w:sz w:val="20"/>
                <w:szCs w:val="20"/>
                <w:lang w:eastAsia="es-ES"/>
              </w:rPr>
            </w:pPr>
            <w:r w:rsidRPr="00F71A09">
              <w:rPr>
                <w:rFonts w:ascii="Calibri" w:eastAsia="Times New Roman" w:hAnsi="Calibri" w:cs="Calibri"/>
                <w:b/>
                <w:bCs/>
                <w:color w:val="000000"/>
                <w:sz w:val="20"/>
                <w:szCs w:val="20"/>
                <w:lang w:eastAsia="es-ES"/>
              </w:rPr>
              <w:t>26,6%</w:t>
            </w:r>
          </w:p>
        </w:tc>
        <w:tc>
          <w:tcPr>
            <w:tcW w:w="1480" w:type="dxa"/>
            <w:tcBorders>
              <w:top w:val="nil"/>
              <w:left w:val="single" w:sz="4" w:space="0" w:color="auto"/>
              <w:bottom w:val="nil"/>
              <w:right w:val="single" w:sz="4" w:space="0" w:color="auto"/>
            </w:tcBorders>
            <w:shd w:val="clear" w:color="000000" w:fill="D8D8D8"/>
            <w:vAlign w:val="bottom"/>
            <w:hideMark/>
          </w:tcPr>
          <w:p w:rsidR="00D95FA3" w:rsidRPr="00F71A09" w:rsidRDefault="00D95FA3" w:rsidP="00F7087B">
            <w:pPr>
              <w:spacing w:after="0" w:line="240" w:lineRule="auto"/>
              <w:jc w:val="center"/>
              <w:rPr>
                <w:rFonts w:ascii="Calibri" w:eastAsia="Times New Roman" w:hAnsi="Calibri" w:cs="Calibri"/>
                <w:b/>
                <w:bCs/>
                <w:color w:val="000000"/>
                <w:sz w:val="20"/>
                <w:szCs w:val="20"/>
                <w:lang w:eastAsia="es-ES"/>
              </w:rPr>
            </w:pPr>
            <w:r w:rsidRPr="00F71A09">
              <w:rPr>
                <w:rFonts w:ascii="Calibri" w:eastAsia="Times New Roman" w:hAnsi="Calibri" w:cs="Calibri"/>
                <w:b/>
                <w:bCs/>
                <w:color w:val="000000"/>
                <w:sz w:val="20"/>
                <w:szCs w:val="20"/>
                <w:lang w:eastAsia="es-ES"/>
              </w:rPr>
              <w:t>444.210</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Buenos Aires</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1.316.673</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22,6%</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173.748</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Mendoza</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129.846</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18,8%</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20.689</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Jujuy</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50.426</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18,8%</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8.549</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Neuquén</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29.412</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17,6%</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8.717</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Ciudad de Buenos Aires</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48.052</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11,3%</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3.986</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La Rioja</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12.613</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9,9%</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5.166</w:t>
            </w:r>
          </w:p>
        </w:tc>
      </w:tr>
      <w:tr w:rsidR="00D95FA3" w:rsidRPr="00F71A09" w:rsidTr="00F7087B">
        <w:trPr>
          <w:trHeight w:val="255"/>
          <w:jc w:val="center"/>
        </w:trPr>
        <w:tc>
          <w:tcPr>
            <w:tcW w:w="23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Santiago del Estero</w:t>
            </w:r>
          </w:p>
        </w:tc>
        <w:tc>
          <w:tcPr>
            <w:tcW w:w="208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-17.178</w:t>
            </w:r>
          </w:p>
        </w:tc>
        <w:tc>
          <w:tcPr>
            <w:tcW w:w="182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-4,7%</w:t>
            </w:r>
          </w:p>
        </w:tc>
        <w:tc>
          <w:tcPr>
            <w:tcW w:w="1480" w:type="dxa"/>
            <w:tcBorders>
              <w:top w:val="nil"/>
              <w:left w:val="single"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10.058</w:t>
            </w:r>
          </w:p>
        </w:tc>
      </w:tr>
      <w:tr w:rsidR="00D95FA3" w:rsidRPr="00F71A09" w:rsidTr="00F7087B">
        <w:trPr>
          <w:trHeight w:val="255"/>
          <w:jc w:val="center"/>
        </w:trPr>
        <w:tc>
          <w:tcPr>
            <w:tcW w:w="2380" w:type="dxa"/>
            <w:tcBorders>
              <w:top w:val="nil"/>
              <w:left w:val="single" w:sz="4" w:space="0" w:color="auto"/>
              <w:bottom w:val="single" w:sz="4" w:space="0" w:color="auto"/>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San Juan</w:t>
            </w:r>
          </w:p>
        </w:tc>
        <w:tc>
          <w:tcPr>
            <w:tcW w:w="2080" w:type="dxa"/>
            <w:tcBorders>
              <w:top w:val="nil"/>
              <w:left w:val="single" w:sz="4" w:space="0" w:color="auto"/>
              <w:bottom w:val="single" w:sz="4" w:space="0" w:color="auto"/>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-12.444</w:t>
            </w:r>
          </w:p>
        </w:tc>
        <w:tc>
          <w:tcPr>
            <w:tcW w:w="1820" w:type="dxa"/>
            <w:tcBorders>
              <w:top w:val="nil"/>
              <w:left w:val="single" w:sz="4" w:space="0" w:color="auto"/>
              <w:bottom w:val="single" w:sz="4" w:space="0" w:color="auto"/>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-6,7%</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8.412</w:t>
            </w:r>
          </w:p>
        </w:tc>
      </w:tr>
    </w:tbl>
    <w:p w:rsidR="00D95FA3" w:rsidRDefault="00D95FA3" w:rsidP="00D95FA3">
      <w:pPr>
        <w:spacing w:after="0"/>
        <w:jc w:val="center"/>
        <w:rPr>
          <w:rFonts w:cs="Times New Roman"/>
          <w:sz w:val="20"/>
          <w:szCs w:val="24"/>
        </w:rPr>
      </w:pPr>
      <w:r w:rsidRPr="00ED19B3">
        <w:rPr>
          <w:rFonts w:cs="Times New Roman"/>
          <w:sz w:val="20"/>
          <w:szCs w:val="24"/>
          <w:u w:val="single"/>
        </w:rPr>
        <w:t>Fuente</w:t>
      </w:r>
      <w:r w:rsidRPr="00ED19B3">
        <w:rPr>
          <w:rFonts w:cs="Times New Roman"/>
          <w:sz w:val="20"/>
          <w:szCs w:val="24"/>
        </w:rPr>
        <w:t>: Elaboración propia en base a datos de la EPH-INDEC.</w:t>
      </w:r>
    </w:p>
    <w:p w:rsidR="00D95FA3" w:rsidRDefault="00DE187B" w:rsidP="00D95FA3">
      <w:pPr>
        <w:rPr>
          <w:rFonts w:cs="Times New Roman"/>
          <w:b/>
          <w:szCs w:val="24"/>
        </w:rPr>
      </w:pPr>
      <w:r>
        <w:rPr>
          <w:rFonts w:cs="Times New Roman"/>
          <w:b/>
          <w:szCs w:val="24"/>
        </w:rPr>
        <w:t>C</w:t>
      </w:r>
      <w:r w:rsidR="00E42FF7">
        <w:rPr>
          <w:rFonts w:cs="Times New Roman"/>
          <w:b/>
          <w:szCs w:val="24"/>
        </w:rPr>
        <w:t>uadro Nº4</w:t>
      </w:r>
      <w:r w:rsidR="00D95FA3" w:rsidRPr="00ED19B3">
        <w:rPr>
          <w:rFonts w:cs="Times New Roman"/>
          <w:b/>
          <w:szCs w:val="24"/>
        </w:rPr>
        <w:t xml:space="preserve">: Pobreza e Indigencia, </w:t>
      </w:r>
      <w:r w:rsidR="00D95FA3">
        <w:rPr>
          <w:rFonts w:cs="Times New Roman"/>
          <w:b/>
          <w:szCs w:val="24"/>
        </w:rPr>
        <w:t>comparación interanual de</w:t>
      </w:r>
      <w:r w:rsidR="00D95FA3" w:rsidRPr="00ED19B3">
        <w:rPr>
          <w:rFonts w:cs="Times New Roman"/>
          <w:b/>
          <w:szCs w:val="24"/>
        </w:rPr>
        <w:t xml:space="preserve"> tasas y </w:t>
      </w:r>
      <w:r w:rsidR="00D95FA3">
        <w:rPr>
          <w:rFonts w:cs="Times New Roman"/>
          <w:b/>
          <w:szCs w:val="24"/>
        </w:rPr>
        <w:t>diferencia absoluta de</w:t>
      </w:r>
      <w:r w:rsidR="00D95FA3" w:rsidRPr="00ED19B3">
        <w:rPr>
          <w:rFonts w:cs="Times New Roman"/>
          <w:b/>
          <w:szCs w:val="24"/>
        </w:rPr>
        <w:t xml:space="preserve"> personas</w:t>
      </w:r>
      <w:r w:rsidR="00D95FA3">
        <w:rPr>
          <w:rFonts w:cs="Times New Roman"/>
          <w:b/>
          <w:szCs w:val="24"/>
        </w:rPr>
        <w:t xml:space="preserve"> (orden descendente según tasas de indigencia)</w:t>
      </w:r>
      <w:r w:rsidR="00D95FA3" w:rsidRPr="00ED19B3">
        <w:rPr>
          <w:rFonts w:cs="Times New Roman"/>
          <w:b/>
          <w:szCs w:val="24"/>
        </w:rPr>
        <w:t>. Por provincias</w:t>
      </w:r>
      <w:r w:rsidR="00D95FA3">
        <w:rPr>
          <w:rFonts w:cs="Times New Roman"/>
          <w:b/>
          <w:szCs w:val="24"/>
        </w:rPr>
        <w:t xml:space="preserve"> y total nacional. 2</w:t>
      </w:r>
      <w:r w:rsidR="00D95FA3" w:rsidRPr="00ED19B3">
        <w:rPr>
          <w:rFonts w:cs="Times New Roman"/>
          <w:b/>
          <w:szCs w:val="24"/>
        </w:rPr>
        <w:t xml:space="preserve">º </w:t>
      </w:r>
      <w:r w:rsidR="00D95FA3">
        <w:rPr>
          <w:rFonts w:cs="Times New Roman"/>
          <w:b/>
          <w:szCs w:val="24"/>
        </w:rPr>
        <w:t>Trimestre 2018 vs 2</w:t>
      </w:r>
      <w:r w:rsidR="00D95FA3" w:rsidRPr="00ED19B3">
        <w:rPr>
          <w:rFonts w:cs="Times New Roman"/>
          <w:b/>
          <w:szCs w:val="24"/>
        </w:rPr>
        <w:t xml:space="preserve">º </w:t>
      </w:r>
      <w:r w:rsidR="00D95FA3">
        <w:rPr>
          <w:rFonts w:cs="Times New Roman"/>
          <w:b/>
          <w:szCs w:val="24"/>
        </w:rPr>
        <w:t>Trimestre 2019</w:t>
      </w:r>
      <w:r w:rsidR="00D95FA3" w:rsidRPr="00ED19B3">
        <w:rPr>
          <w:rFonts w:cs="Times New Roman"/>
          <w:b/>
          <w:szCs w:val="24"/>
        </w:rPr>
        <w:t>.</w:t>
      </w:r>
    </w:p>
    <w:tbl>
      <w:tblPr>
        <w:tblW w:w="7900" w:type="dxa"/>
        <w:jc w:val="center"/>
        <w:tblCellMar>
          <w:left w:w="70" w:type="dxa"/>
          <w:right w:w="70" w:type="dxa"/>
        </w:tblCellMar>
        <w:tblLook w:val="04A0"/>
      </w:tblPr>
      <w:tblGrid>
        <w:gridCol w:w="2440"/>
        <w:gridCol w:w="1820"/>
        <w:gridCol w:w="1820"/>
        <w:gridCol w:w="1820"/>
      </w:tblGrid>
      <w:tr w:rsidR="00D95FA3" w:rsidRPr="00F71A09" w:rsidTr="00F7087B">
        <w:trPr>
          <w:trHeight w:val="585"/>
          <w:jc w:val="center"/>
        </w:trPr>
        <w:tc>
          <w:tcPr>
            <w:tcW w:w="2440"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sidRPr="00F71A09">
              <w:rPr>
                <w:rFonts w:ascii="Calibri" w:eastAsia="Times New Roman" w:hAnsi="Calibri" w:cs="Calibri"/>
                <w:b/>
                <w:bCs/>
                <w:color w:val="FFFFFF"/>
                <w:sz w:val="20"/>
                <w:szCs w:val="20"/>
                <w:lang w:eastAsia="es-ES"/>
              </w:rPr>
              <w:t> </w:t>
            </w:r>
          </w:p>
        </w:tc>
        <w:tc>
          <w:tcPr>
            <w:tcW w:w="5460" w:type="dxa"/>
            <w:gridSpan w:val="3"/>
            <w:tcBorders>
              <w:top w:val="single" w:sz="4" w:space="0" w:color="auto"/>
              <w:left w:val="nil"/>
              <w:bottom w:val="single" w:sz="4" w:space="0" w:color="auto"/>
              <w:right w:val="single" w:sz="4" w:space="0" w:color="000000"/>
            </w:tcBorders>
            <w:shd w:val="clear" w:color="000000" w:fill="0070C0"/>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Pr>
                <w:rFonts w:ascii="Calibri" w:eastAsia="Times New Roman" w:hAnsi="Calibri" w:cs="Calibri"/>
                <w:b/>
                <w:bCs/>
                <w:color w:val="FFFFFF"/>
                <w:sz w:val="20"/>
                <w:szCs w:val="20"/>
                <w:lang w:eastAsia="es-ES"/>
              </w:rPr>
              <w:t xml:space="preserve">Variación % a/a </w:t>
            </w:r>
            <w:r>
              <w:rPr>
                <w:rFonts w:ascii="Calibri" w:eastAsia="Times New Roman" w:hAnsi="Calibri" w:cs="Calibri"/>
                <w:b/>
                <w:bCs/>
                <w:color w:val="FFFFFF"/>
                <w:sz w:val="20"/>
                <w:szCs w:val="20"/>
                <w:lang w:eastAsia="es-ES"/>
              </w:rPr>
              <w:br/>
              <w:t>2T 2018 vs. 2T</w:t>
            </w:r>
            <w:r w:rsidRPr="00F71A09">
              <w:rPr>
                <w:rFonts w:ascii="Calibri" w:eastAsia="Times New Roman" w:hAnsi="Calibri" w:cs="Calibri"/>
                <w:b/>
                <w:bCs/>
                <w:color w:val="FFFFFF"/>
                <w:sz w:val="20"/>
                <w:szCs w:val="20"/>
                <w:lang w:eastAsia="es-ES"/>
              </w:rPr>
              <w:t xml:space="preserve"> 2019</w:t>
            </w:r>
          </w:p>
        </w:tc>
      </w:tr>
      <w:tr w:rsidR="00D95FA3" w:rsidRPr="00F71A09" w:rsidTr="00F7087B">
        <w:trPr>
          <w:trHeight w:val="300"/>
          <w:jc w:val="center"/>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D95FA3" w:rsidRPr="00F71A09" w:rsidRDefault="00D95FA3" w:rsidP="00F7087B">
            <w:pPr>
              <w:spacing w:after="0" w:line="240" w:lineRule="auto"/>
              <w:rPr>
                <w:rFonts w:ascii="Calibri" w:eastAsia="Times New Roman" w:hAnsi="Calibri" w:cs="Calibri"/>
                <w:b/>
                <w:bCs/>
                <w:color w:val="FFFFFF"/>
                <w:sz w:val="20"/>
                <w:szCs w:val="20"/>
                <w:lang w:eastAsia="es-ES"/>
              </w:rPr>
            </w:pPr>
          </w:p>
        </w:tc>
        <w:tc>
          <w:tcPr>
            <w:tcW w:w="3640"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sidRPr="00F71A09">
              <w:rPr>
                <w:rFonts w:ascii="Calibri" w:eastAsia="Times New Roman" w:hAnsi="Calibri" w:cs="Calibri"/>
                <w:b/>
                <w:bCs/>
                <w:color w:val="FFFFFF"/>
                <w:sz w:val="20"/>
                <w:szCs w:val="20"/>
                <w:lang w:eastAsia="es-ES"/>
              </w:rPr>
              <w:t>Indigencia</w:t>
            </w:r>
          </w:p>
        </w:tc>
        <w:tc>
          <w:tcPr>
            <w:tcW w:w="1820" w:type="dxa"/>
            <w:vMerge w:val="restart"/>
            <w:tcBorders>
              <w:top w:val="nil"/>
              <w:left w:val="single" w:sz="4" w:space="0" w:color="auto"/>
              <w:bottom w:val="single" w:sz="4" w:space="0" w:color="000000"/>
              <w:right w:val="single" w:sz="4" w:space="0" w:color="auto"/>
            </w:tcBorders>
            <w:shd w:val="clear" w:color="000000" w:fill="0070C0"/>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sidRPr="00F71A09">
              <w:rPr>
                <w:rFonts w:ascii="Calibri" w:eastAsia="Times New Roman" w:hAnsi="Calibri" w:cs="Calibri"/>
                <w:b/>
                <w:bCs/>
                <w:color w:val="FFFFFF"/>
                <w:sz w:val="20"/>
                <w:szCs w:val="20"/>
                <w:lang w:eastAsia="es-ES"/>
              </w:rPr>
              <w:t xml:space="preserve">Total </w:t>
            </w:r>
            <w:r w:rsidRPr="00F71A09">
              <w:rPr>
                <w:rFonts w:ascii="Calibri" w:eastAsia="Times New Roman" w:hAnsi="Calibri" w:cs="Calibri"/>
                <w:b/>
                <w:bCs/>
                <w:color w:val="FFFFFF"/>
                <w:sz w:val="20"/>
                <w:szCs w:val="20"/>
                <w:lang w:eastAsia="es-ES"/>
              </w:rPr>
              <w:br/>
              <w:t>Población</w:t>
            </w:r>
          </w:p>
        </w:tc>
      </w:tr>
      <w:tr w:rsidR="00D95FA3" w:rsidRPr="00F71A09" w:rsidTr="00F7087B">
        <w:trPr>
          <w:trHeight w:val="255"/>
          <w:jc w:val="center"/>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D95FA3" w:rsidRPr="00F71A09" w:rsidRDefault="00D95FA3" w:rsidP="00F7087B">
            <w:pPr>
              <w:spacing w:after="0" w:line="240" w:lineRule="auto"/>
              <w:rPr>
                <w:rFonts w:ascii="Calibri" w:eastAsia="Times New Roman" w:hAnsi="Calibri" w:cs="Calibri"/>
                <w:b/>
                <w:bCs/>
                <w:color w:val="FFFFFF"/>
                <w:sz w:val="20"/>
                <w:szCs w:val="20"/>
                <w:lang w:eastAsia="es-ES"/>
              </w:rPr>
            </w:pPr>
          </w:p>
        </w:tc>
        <w:tc>
          <w:tcPr>
            <w:tcW w:w="1820" w:type="dxa"/>
            <w:tcBorders>
              <w:top w:val="nil"/>
              <w:left w:val="nil"/>
              <w:bottom w:val="single" w:sz="4" w:space="0" w:color="auto"/>
              <w:right w:val="nil"/>
            </w:tcBorders>
            <w:shd w:val="clear" w:color="000000" w:fill="0070C0"/>
            <w:noWrap/>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sidRPr="00F71A09">
              <w:rPr>
                <w:rFonts w:ascii="Calibri" w:eastAsia="Times New Roman" w:hAnsi="Calibri" w:cs="Calibri"/>
                <w:b/>
                <w:bCs/>
                <w:color w:val="FFFFFF"/>
                <w:sz w:val="20"/>
                <w:szCs w:val="20"/>
                <w:lang w:eastAsia="es-ES"/>
              </w:rPr>
              <w:t>Dif. Absoluta</w:t>
            </w:r>
          </w:p>
        </w:tc>
        <w:tc>
          <w:tcPr>
            <w:tcW w:w="1820" w:type="dxa"/>
            <w:tcBorders>
              <w:top w:val="nil"/>
              <w:left w:val="single" w:sz="4" w:space="0" w:color="auto"/>
              <w:bottom w:val="single" w:sz="4" w:space="0" w:color="auto"/>
              <w:right w:val="nil"/>
            </w:tcBorders>
            <w:shd w:val="clear" w:color="000000" w:fill="0070C0"/>
            <w:noWrap/>
            <w:vAlign w:val="center"/>
            <w:hideMark/>
          </w:tcPr>
          <w:p w:rsidR="00D95FA3" w:rsidRPr="00F71A09" w:rsidRDefault="00D95FA3" w:rsidP="00F7087B">
            <w:pPr>
              <w:spacing w:after="0" w:line="240" w:lineRule="auto"/>
              <w:jc w:val="center"/>
              <w:rPr>
                <w:rFonts w:ascii="Calibri" w:eastAsia="Times New Roman" w:hAnsi="Calibri" w:cs="Calibri"/>
                <w:b/>
                <w:bCs/>
                <w:color w:val="FFFFFF"/>
                <w:sz w:val="20"/>
                <w:szCs w:val="20"/>
                <w:lang w:eastAsia="es-ES"/>
              </w:rPr>
            </w:pPr>
            <w:r w:rsidRPr="00F71A09">
              <w:rPr>
                <w:rFonts w:ascii="Calibri" w:eastAsia="Times New Roman" w:hAnsi="Calibri" w:cs="Calibri"/>
                <w:b/>
                <w:bCs/>
                <w:color w:val="FFFFFF"/>
                <w:sz w:val="20"/>
                <w:szCs w:val="20"/>
                <w:lang w:eastAsia="es-ES"/>
              </w:rPr>
              <w:t>% Tasas</w:t>
            </w:r>
          </w:p>
        </w:tc>
        <w:tc>
          <w:tcPr>
            <w:tcW w:w="1820" w:type="dxa"/>
            <w:vMerge/>
            <w:tcBorders>
              <w:top w:val="nil"/>
              <w:left w:val="single" w:sz="4" w:space="0" w:color="auto"/>
              <w:bottom w:val="single" w:sz="4" w:space="0" w:color="000000"/>
              <w:right w:val="single" w:sz="4" w:space="0" w:color="auto"/>
            </w:tcBorders>
            <w:vAlign w:val="center"/>
            <w:hideMark/>
          </w:tcPr>
          <w:p w:rsidR="00D95FA3" w:rsidRPr="00F71A09" w:rsidRDefault="00D95FA3" w:rsidP="00F7087B">
            <w:pPr>
              <w:spacing w:after="0" w:line="240" w:lineRule="auto"/>
              <w:rPr>
                <w:rFonts w:ascii="Calibri" w:eastAsia="Times New Roman" w:hAnsi="Calibri" w:cs="Calibri"/>
                <w:b/>
                <w:bCs/>
                <w:color w:val="FFFFFF"/>
                <w:sz w:val="20"/>
                <w:szCs w:val="20"/>
                <w:lang w:eastAsia="es-ES"/>
              </w:rPr>
            </w:pP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Formosa</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32.324</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325,5%</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5.100</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La Pampa</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24.604</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177,0%</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3.044</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Misiones</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83.643</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164,3%</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14.185</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Córdoba</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255.948</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162,2%</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38.395</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Ciudad de Buenos Aires</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116.621</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141,5%</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3.986</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La Rioja</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8.342</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130,1%</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5.166</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Chaco</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112.347</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127,4%</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12.139</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Santa Cruz</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10.920</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112,4%</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9.054</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Río Negro</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11.205</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95,1%</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9.657</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Chubut</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14.815</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93,3%</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10.349</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Corrientes</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55.145</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88,4%</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9.968</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Salta</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47.078</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85,5%</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18.052</w:t>
            </w:r>
          </w:p>
        </w:tc>
      </w:tr>
      <w:tr w:rsidR="00D95FA3" w:rsidRPr="00F71A09" w:rsidTr="00F7087B">
        <w:trPr>
          <w:trHeight w:val="255"/>
          <w:jc w:val="center"/>
        </w:trPr>
        <w:tc>
          <w:tcPr>
            <w:tcW w:w="2440" w:type="dxa"/>
            <w:tcBorders>
              <w:top w:val="nil"/>
              <w:left w:val="single" w:sz="4" w:space="0" w:color="auto"/>
              <w:bottom w:val="nil"/>
              <w:right w:val="nil"/>
            </w:tcBorders>
            <w:shd w:val="clear" w:color="000000" w:fill="D8D8D8"/>
            <w:vAlign w:val="bottom"/>
            <w:hideMark/>
          </w:tcPr>
          <w:p w:rsidR="00D95FA3" w:rsidRPr="00F71A09" w:rsidRDefault="00D95FA3" w:rsidP="00F7087B">
            <w:pPr>
              <w:spacing w:after="0" w:line="240" w:lineRule="auto"/>
              <w:jc w:val="center"/>
              <w:rPr>
                <w:rFonts w:ascii="Calibri" w:eastAsia="Times New Roman" w:hAnsi="Calibri" w:cs="Calibri"/>
                <w:b/>
                <w:bCs/>
                <w:color w:val="000000"/>
                <w:sz w:val="20"/>
                <w:szCs w:val="20"/>
                <w:lang w:eastAsia="es-ES"/>
              </w:rPr>
            </w:pPr>
            <w:r w:rsidRPr="00F71A09">
              <w:rPr>
                <w:rFonts w:ascii="Calibri" w:eastAsia="Times New Roman" w:hAnsi="Calibri" w:cs="Calibri"/>
                <w:b/>
                <w:bCs/>
                <w:color w:val="000000"/>
                <w:sz w:val="20"/>
                <w:szCs w:val="20"/>
                <w:lang w:eastAsia="es-ES"/>
              </w:rPr>
              <w:t>Total Nacional</w:t>
            </w:r>
          </w:p>
        </w:tc>
        <w:tc>
          <w:tcPr>
            <w:tcW w:w="1820" w:type="dxa"/>
            <w:tcBorders>
              <w:top w:val="nil"/>
              <w:left w:val="dotted" w:sz="4" w:space="0" w:color="auto"/>
              <w:bottom w:val="nil"/>
              <w:right w:val="single" w:sz="4" w:space="0" w:color="auto"/>
            </w:tcBorders>
            <w:shd w:val="clear" w:color="000000" w:fill="D8D8D8"/>
            <w:vAlign w:val="bottom"/>
            <w:hideMark/>
          </w:tcPr>
          <w:p w:rsidR="00D95FA3" w:rsidRPr="00F71A09" w:rsidRDefault="00D95FA3" w:rsidP="00F7087B">
            <w:pPr>
              <w:spacing w:after="0" w:line="240" w:lineRule="auto"/>
              <w:jc w:val="center"/>
              <w:rPr>
                <w:rFonts w:ascii="Calibri" w:eastAsia="Times New Roman" w:hAnsi="Calibri" w:cs="Calibri"/>
                <w:b/>
                <w:bCs/>
                <w:color w:val="000000"/>
                <w:sz w:val="20"/>
                <w:szCs w:val="20"/>
                <w:lang w:eastAsia="es-ES"/>
              </w:rPr>
            </w:pPr>
            <w:r w:rsidRPr="00F71A09">
              <w:rPr>
                <w:rFonts w:ascii="Calibri" w:eastAsia="Times New Roman" w:hAnsi="Calibri" w:cs="Calibri"/>
                <w:b/>
                <w:bCs/>
                <w:color w:val="000000"/>
                <w:sz w:val="20"/>
                <w:szCs w:val="20"/>
                <w:lang w:eastAsia="es-ES"/>
              </w:rPr>
              <w:t>1.567.479</w:t>
            </w:r>
          </w:p>
        </w:tc>
        <w:tc>
          <w:tcPr>
            <w:tcW w:w="1820" w:type="dxa"/>
            <w:tcBorders>
              <w:top w:val="nil"/>
              <w:left w:val="dotted" w:sz="4" w:space="0" w:color="auto"/>
              <w:bottom w:val="nil"/>
              <w:right w:val="single" w:sz="4" w:space="0" w:color="auto"/>
            </w:tcBorders>
            <w:shd w:val="clear" w:color="000000" w:fill="D8D8D8"/>
            <w:vAlign w:val="bottom"/>
            <w:hideMark/>
          </w:tcPr>
          <w:p w:rsidR="00D95FA3" w:rsidRPr="00F71A09" w:rsidRDefault="00D95FA3" w:rsidP="00F7087B">
            <w:pPr>
              <w:spacing w:after="0" w:line="240" w:lineRule="auto"/>
              <w:jc w:val="center"/>
              <w:rPr>
                <w:rFonts w:ascii="Calibri" w:eastAsia="Times New Roman" w:hAnsi="Calibri" w:cs="Calibri"/>
                <w:b/>
                <w:bCs/>
                <w:color w:val="000000"/>
                <w:sz w:val="20"/>
                <w:szCs w:val="20"/>
                <w:lang w:eastAsia="es-ES"/>
              </w:rPr>
            </w:pPr>
            <w:r w:rsidRPr="00F71A09">
              <w:rPr>
                <w:rFonts w:ascii="Calibri" w:eastAsia="Times New Roman" w:hAnsi="Calibri" w:cs="Calibri"/>
                <w:b/>
                <w:bCs/>
                <w:color w:val="000000"/>
                <w:sz w:val="20"/>
                <w:szCs w:val="20"/>
                <w:lang w:eastAsia="es-ES"/>
              </w:rPr>
              <w:t>71,0%</w:t>
            </w:r>
          </w:p>
        </w:tc>
        <w:tc>
          <w:tcPr>
            <w:tcW w:w="1820" w:type="dxa"/>
            <w:tcBorders>
              <w:top w:val="nil"/>
              <w:left w:val="nil"/>
              <w:bottom w:val="nil"/>
              <w:right w:val="single" w:sz="4" w:space="0" w:color="auto"/>
            </w:tcBorders>
            <w:shd w:val="clear" w:color="000000" w:fill="D8D8D8"/>
            <w:vAlign w:val="bottom"/>
            <w:hideMark/>
          </w:tcPr>
          <w:p w:rsidR="00D95FA3" w:rsidRPr="00F71A09" w:rsidRDefault="00D95FA3" w:rsidP="00F7087B">
            <w:pPr>
              <w:spacing w:after="0" w:line="240" w:lineRule="auto"/>
              <w:jc w:val="center"/>
              <w:rPr>
                <w:rFonts w:ascii="Calibri" w:eastAsia="Times New Roman" w:hAnsi="Calibri" w:cs="Calibri"/>
                <w:b/>
                <w:bCs/>
                <w:color w:val="000000"/>
                <w:sz w:val="20"/>
                <w:szCs w:val="20"/>
                <w:lang w:eastAsia="es-ES"/>
              </w:rPr>
            </w:pPr>
            <w:r w:rsidRPr="00F71A09">
              <w:rPr>
                <w:rFonts w:ascii="Calibri" w:eastAsia="Times New Roman" w:hAnsi="Calibri" w:cs="Calibri"/>
                <w:b/>
                <w:bCs/>
                <w:color w:val="000000"/>
                <w:sz w:val="20"/>
                <w:szCs w:val="20"/>
                <w:lang w:eastAsia="es-ES"/>
              </w:rPr>
              <w:t>444.210</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Mendoza</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51.584</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68,8%</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20.689</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Buenos Aires</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663.553</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66,0%</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173.748</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Tucumán</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30.623</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65,2%</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20.234</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Catamarca</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9.533</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64,8%</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3.672</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San Luis</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4.811</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41,7%</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6.371</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San Juan</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9.875</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39,3%</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8.412</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Neuquén</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5.101</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19,8%</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8.717</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Tierra del Fuego</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452</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10,8%</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4.239</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Jujuy</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4.225</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8,8%</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8.549</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Santa Fe</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-572</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-1,1%</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27.599</w:t>
            </w:r>
          </w:p>
        </w:tc>
      </w:tr>
      <w:tr w:rsidR="00D95FA3" w:rsidRPr="00F71A09" w:rsidTr="00F7087B">
        <w:trPr>
          <w:trHeight w:val="255"/>
          <w:jc w:val="center"/>
        </w:trPr>
        <w:tc>
          <w:tcPr>
            <w:tcW w:w="2440" w:type="dxa"/>
            <w:tcBorders>
              <w:top w:val="nil"/>
              <w:left w:val="single" w:sz="4" w:space="0" w:color="auto"/>
              <w:bottom w:val="nil"/>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Entre Ríos</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-1.086</w:t>
            </w:r>
          </w:p>
        </w:tc>
        <w:tc>
          <w:tcPr>
            <w:tcW w:w="1820" w:type="dxa"/>
            <w:tcBorders>
              <w:top w:val="nil"/>
              <w:left w:val="dotted" w:sz="4" w:space="0" w:color="auto"/>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-1,8%</w:t>
            </w:r>
          </w:p>
        </w:tc>
        <w:tc>
          <w:tcPr>
            <w:tcW w:w="1820" w:type="dxa"/>
            <w:tcBorders>
              <w:top w:val="nil"/>
              <w:left w:val="nil"/>
              <w:bottom w:val="nil"/>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12.827</w:t>
            </w:r>
          </w:p>
        </w:tc>
      </w:tr>
      <w:tr w:rsidR="00D95FA3" w:rsidRPr="00F71A09" w:rsidTr="00F7087B">
        <w:trPr>
          <w:trHeight w:val="255"/>
          <w:jc w:val="center"/>
        </w:trPr>
        <w:tc>
          <w:tcPr>
            <w:tcW w:w="2440" w:type="dxa"/>
            <w:tcBorders>
              <w:top w:val="nil"/>
              <w:left w:val="single" w:sz="4" w:space="0" w:color="auto"/>
              <w:bottom w:val="single" w:sz="4" w:space="0" w:color="auto"/>
              <w:right w:val="nil"/>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Santiago del Estero</w:t>
            </w:r>
          </w:p>
        </w:tc>
        <w:tc>
          <w:tcPr>
            <w:tcW w:w="1820" w:type="dxa"/>
            <w:tcBorders>
              <w:top w:val="nil"/>
              <w:left w:val="dotted" w:sz="4" w:space="0" w:color="auto"/>
              <w:bottom w:val="single" w:sz="4" w:space="0" w:color="auto"/>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-42.330</w:t>
            </w:r>
          </w:p>
        </w:tc>
        <w:tc>
          <w:tcPr>
            <w:tcW w:w="1820" w:type="dxa"/>
            <w:tcBorders>
              <w:top w:val="nil"/>
              <w:left w:val="dotted" w:sz="4" w:space="0" w:color="auto"/>
              <w:bottom w:val="single" w:sz="4" w:space="0" w:color="auto"/>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-61,8%</w:t>
            </w:r>
          </w:p>
        </w:tc>
        <w:tc>
          <w:tcPr>
            <w:tcW w:w="1820" w:type="dxa"/>
            <w:tcBorders>
              <w:top w:val="nil"/>
              <w:left w:val="nil"/>
              <w:bottom w:val="single" w:sz="4" w:space="0" w:color="auto"/>
              <w:right w:val="single" w:sz="4" w:space="0" w:color="auto"/>
            </w:tcBorders>
            <w:shd w:val="clear" w:color="auto" w:fill="auto"/>
            <w:noWrap/>
            <w:vAlign w:val="bottom"/>
            <w:hideMark/>
          </w:tcPr>
          <w:p w:rsidR="00D95FA3" w:rsidRPr="00F71A09" w:rsidRDefault="00D95FA3" w:rsidP="00F7087B">
            <w:pPr>
              <w:spacing w:after="0" w:line="240" w:lineRule="auto"/>
              <w:jc w:val="center"/>
              <w:rPr>
                <w:rFonts w:ascii="Calibri" w:eastAsia="Times New Roman" w:hAnsi="Calibri" w:cs="Calibri"/>
                <w:color w:val="000000"/>
                <w:sz w:val="20"/>
                <w:szCs w:val="20"/>
                <w:lang w:eastAsia="es-ES"/>
              </w:rPr>
            </w:pPr>
            <w:r w:rsidRPr="00F71A09">
              <w:rPr>
                <w:rFonts w:ascii="Calibri" w:eastAsia="Times New Roman" w:hAnsi="Calibri" w:cs="Calibri"/>
                <w:color w:val="000000"/>
                <w:sz w:val="20"/>
                <w:szCs w:val="20"/>
                <w:lang w:eastAsia="es-ES"/>
              </w:rPr>
              <w:t>10.058</w:t>
            </w:r>
          </w:p>
        </w:tc>
      </w:tr>
    </w:tbl>
    <w:p w:rsidR="00D95FA3" w:rsidRDefault="00D95FA3" w:rsidP="00D95FA3">
      <w:pPr>
        <w:spacing w:after="0"/>
        <w:jc w:val="center"/>
        <w:rPr>
          <w:rFonts w:cs="Times New Roman"/>
          <w:sz w:val="20"/>
          <w:szCs w:val="24"/>
          <w:u w:val="single"/>
        </w:rPr>
      </w:pPr>
    </w:p>
    <w:p w:rsidR="00D95FA3" w:rsidRDefault="00D95FA3" w:rsidP="00D95FA3">
      <w:pPr>
        <w:spacing w:after="0"/>
        <w:jc w:val="center"/>
        <w:rPr>
          <w:rFonts w:cs="Times New Roman"/>
          <w:sz w:val="20"/>
          <w:szCs w:val="24"/>
        </w:rPr>
      </w:pPr>
      <w:r w:rsidRPr="00ED19B3">
        <w:rPr>
          <w:rFonts w:cs="Times New Roman"/>
          <w:sz w:val="20"/>
          <w:szCs w:val="24"/>
          <w:u w:val="single"/>
        </w:rPr>
        <w:t>Fuente</w:t>
      </w:r>
      <w:r w:rsidRPr="00ED19B3">
        <w:rPr>
          <w:rFonts w:cs="Times New Roman"/>
          <w:sz w:val="20"/>
          <w:szCs w:val="24"/>
        </w:rPr>
        <w:t>: Elaboración propia en base a datos de la EPH-INDEC.</w:t>
      </w:r>
    </w:p>
    <w:p w:rsidR="004049E6" w:rsidRDefault="004049E6" w:rsidP="00F56721">
      <w:pPr>
        <w:spacing w:after="0"/>
        <w:rPr>
          <w:b/>
          <w:i/>
          <w:sz w:val="24"/>
        </w:rPr>
      </w:pPr>
    </w:p>
    <w:p w:rsidR="004049E6" w:rsidRDefault="004049E6" w:rsidP="00F56721">
      <w:pPr>
        <w:spacing w:after="0"/>
        <w:rPr>
          <w:b/>
          <w:i/>
          <w:sz w:val="24"/>
        </w:rPr>
      </w:pPr>
    </w:p>
    <w:p w:rsidR="00AA53CD" w:rsidRDefault="00AA53CD">
      <w:pPr>
        <w:rPr>
          <w:b/>
          <w:i/>
          <w:sz w:val="24"/>
        </w:rPr>
      </w:pPr>
      <w:r>
        <w:rPr>
          <w:b/>
          <w:i/>
          <w:sz w:val="24"/>
        </w:rPr>
        <w:br w:type="page"/>
      </w:r>
    </w:p>
    <w:p w:rsidR="00F56721" w:rsidRPr="00804594" w:rsidRDefault="00F56721" w:rsidP="00F56721">
      <w:pPr>
        <w:spacing w:after="0"/>
        <w:rPr>
          <w:b/>
          <w:i/>
          <w:sz w:val="24"/>
        </w:rPr>
      </w:pPr>
      <w:r w:rsidRPr="00804594">
        <w:rPr>
          <w:b/>
          <w:i/>
          <w:sz w:val="24"/>
        </w:rPr>
        <w:t xml:space="preserve">Las condiciones de vida de la población por grupos de edad. </w:t>
      </w:r>
      <w:r w:rsidR="00E37C6C">
        <w:rPr>
          <w:b/>
          <w:i/>
          <w:sz w:val="24"/>
        </w:rPr>
        <w:t>Los niños y abuelos, los más afectados</w:t>
      </w:r>
    </w:p>
    <w:p w:rsidR="00F56721" w:rsidRDefault="00F56721" w:rsidP="00F56721">
      <w:pPr>
        <w:spacing w:after="0"/>
      </w:pPr>
    </w:p>
    <w:p w:rsidR="00F56721" w:rsidRDefault="00F56721" w:rsidP="005B11F9">
      <w:pPr>
        <w:spacing w:after="0"/>
        <w:ind w:firstLine="708"/>
        <w:jc w:val="both"/>
      </w:pPr>
      <w:r>
        <w:t xml:space="preserve">La información presentada por la EPH al primer </w:t>
      </w:r>
      <w:r w:rsidR="004049E6">
        <w:t>semestre de este año</w:t>
      </w:r>
      <w:r w:rsidR="0019284D">
        <w:t xml:space="preserve"> nos permite </w:t>
      </w:r>
      <w:r w:rsidR="004049E6">
        <w:t xml:space="preserve">también </w:t>
      </w:r>
      <w:r>
        <w:t xml:space="preserve">inferir los indicadores de pobreza e indigencia </w:t>
      </w:r>
      <w:r w:rsidR="004049E6">
        <w:t>por grupo de edad al</w:t>
      </w:r>
      <w:r>
        <w:t xml:space="preserve"> segundo trimestre. </w:t>
      </w:r>
    </w:p>
    <w:p w:rsidR="003345CA" w:rsidRPr="00F56721" w:rsidRDefault="003345CA" w:rsidP="00F56721">
      <w:pPr>
        <w:spacing w:after="0"/>
      </w:pPr>
    </w:p>
    <w:p w:rsidR="00F56721" w:rsidRDefault="00F56721" w:rsidP="00F56721">
      <w:pPr>
        <w:spacing w:after="0"/>
        <w:rPr>
          <w:b/>
          <w:i/>
        </w:rPr>
      </w:pPr>
    </w:p>
    <w:p w:rsidR="00F56721" w:rsidRPr="003345CA" w:rsidRDefault="00F56721" w:rsidP="00F56721">
      <w:pPr>
        <w:rPr>
          <w:b/>
        </w:rPr>
      </w:pPr>
      <w:r w:rsidRPr="003345CA">
        <w:rPr>
          <w:b/>
          <w:noProof/>
          <w:lang w:val="es-AR" w:eastAsia="es-AR"/>
        </w:rPr>
        <w:drawing>
          <wp:anchor distT="0" distB="0" distL="114300" distR="114300" simplePos="0" relativeHeight="251659264" behindDoc="1" locked="0" layoutInCell="1" allowOverlap="1">
            <wp:simplePos x="0" y="0"/>
            <wp:positionH relativeFrom="column">
              <wp:posOffset>-432435</wp:posOffset>
            </wp:positionH>
            <wp:positionV relativeFrom="paragraph">
              <wp:posOffset>300990</wp:posOffset>
            </wp:positionV>
            <wp:extent cx="6191250" cy="1495425"/>
            <wp:effectExtent l="19050" t="0" r="0" b="0"/>
            <wp:wrapTight wrapText="bothSides">
              <wp:wrapPolygon edited="0">
                <wp:start x="6048" y="0"/>
                <wp:lineTo x="-66" y="2476"/>
                <wp:lineTo x="-66" y="21187"/>
                <wp:lineTo x="21600" y="21187"/>
                <wp:lineTo x="21600" y="0"/>
                <wp:lineTo x="604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191250" cy="1495425"/>
                    </a:xfrm>
                    <a:prstGeom prst="rect">
                      <a:avLst/>
                    </a:prstGeom>
                    <a:noFill/>
                    <a:ln w="9525">
                      <a:noFill/>
                      <a:miter lim="800000"/>
                      <a:headEnd/>
                      <a:tailEnd/>
                    </a:ln>
                  </pic:spPr>
                </pic:pic>
              </a:graphicData>
            </a:graphic>
          </wp:anchor>
        </w:drawing>
      </w:r>
      <w:r w:rsidRPr="003345CA">
        <w:rPr>
          <w:b/>
        </w:rPr>
        <w:t xml:space="preserve">Cuadro Nº </w:t>
      </w:r>
      <w:r w:rsidR="00E42FF7">
        <w:rPr>
          <w:b/>
        </w:rPr>
        <w:t>5</w:t>
      </w:r>
      <w:r w:rsidRPr="003345CA">
        <w:rPr>
          <w:b/>
        </w:rPr>
        <w:t xml:space="preserve">. </w:t>
      </w:r>
      <w:r w:rsidR="003345CA">
        <w:rPr>
          <w:b/>
        </w:rPr>
        <w:t>Tasas de pobreza e indigencia</w:t>
      </w:r>
      <w:r w:rsidRPr="003345CA">
        <w:rPr>
          <w:b/>
        </w:rPr>
        <w:t xml:space="preserve"> por edad al 1º Semestre 2019.</w:t>
      </w:r>
      <w:r w:rsidR="0019284D">
        <w:rPr>
          <w:b/>
        </w:rPr>
        <w:t xml:space="preserve"> Total Nacional.</w:t>
      </w:r>
    </w:p>
    <w:p w:rsidR="003345CA" w:rsidRDefault="003345CA" w:rsidP="003345CA">
      <w:pPr>
        <w:spacing w:after="0"/>
        <w:jc w:val="center"/>
        <w:rPr>
          <w:rFonts w:cs="Times New Roman"/>
          <w:sz w:val="20"/>
          <w:szCs w:val="24"/>
        </w:rPr>
      </w:pPr>
      <w:r w:rsidRPr="00ED19B3">
        <w:rPr>
          <w:rFonts w:cs="Times New Roman"/>
          <w:sz w:val="20"/>
          <w:szCs w:val="24"/>
          <w:u w:val="single"/>
        </w:rPr>
        <w:t>Fuente</w:t>
      </w:r>
      <w:r w:rsidRPr="00ED19B3">
        <w:rPr>
          <w:rFonts w:cs="Times New Roman"/>
          <w:sz w:val="20"/>
          <w:szCs w:val="24"/>
        </w:rPr>
        <w:t>: Elaboración propia en base a datos de la EPH-INDEC.</w:t>
      </w:r>
    </w:p>
    <w:p w:rsidR="00F56721" w:rsidRDefault="00F56721" w:rsidP="00F56721">
      <w:pPr>
        <w:spacing w:line="240" w:lineRule="auto"/>
        <w:jc w:val="center"/>
        <w:rPr>
          <w:rFonts w:ascii="Calibri" w:eastAsia="Times New Roman" w:hAnsi="Calibri" w:cs="Times New Roman"/>
          <w:color w:val="000000"/>
          <w:sz w:val="18"/>
          <w:szCs w:val="20"/>
          <w:lang w:eastAsia="es-ES"/>
        </w:rPr>
      </w:pPr>
      <w:r w:rsidRPr="003345CA">
        <w:rPr>
          <w:rFonts w:ascii="Calibri" w:eastAsia="Times New Roman" w:hAnsi="Calibri" w:cs="Times New Roman"/>
          <w:color w:val="000000"/>
          <w:sz w:val="18"/>
          <w:szCs w:val="20"/>
          <w:lang w:eastAsia="es-ES"/>
        </w:rPr>
        <w:t xml:space="preserve">Nota: la suma de las poblaciones puede no coincidir </w:t>
      </w:r>
      <w:r w:rsidR="00BC07C6">
        <w:rPr>
          <w:rFonts w:ascii="Calibri" w:eastAsia="Times New Roman" w:hAnsi="Calibri" w:cs="Times New Roman"/>
          <w:color w:val="000000"/>
          <w:sz w:val="18"/>
          <w:szCs w:val="20"/>
          <w:lang w:eastAsia="es-ES"/>
        </w:rPr>
        <w:t>con el total, ya que</w:t>
      </w:r>
      <w:r w:rsidRPr="003345CA">
        <w:rPr>
          <w:rFonts w:ascii="Calibri" w:eastAsia="Times New Roman" w:hAnsi="Calibri" w:cs="Times New Roman"/>
          <w:color w:val="000000"/>
          <w:sz w:val="18"/>
          <w:szCs w:val="20"/>
          <w:lang w:eastAsia="es-ES"/>
        </w:rPr>
        <w:t xml:space="preserve"> los porcentajes publicados por el INDEC están redondeados a un decimal.</w:t>
      </w:r>
    </w:p>
    <w:p w:rsidR="003345CA" w:rsidRPr="003345CA" w:rsidRDefault="003345CA" w:rsidP="00F56721">
      <w:pPr>
        <w:spacing w:line="240" w:lineRule="auto"/>
        <w:jc w:val="center"/>
        <w:rPr>
          <w:sz w:val="20"/>
        </w:rPr>
      </w:pPr>
    </w:p>
    <w:p w:rsidR="00F56721" w:rsidRDefault="00F56721" w:rsidP="004049E6">
      <w:pPr>
        <w:ind w:firstLine="708"/>
        <w:jc w:val="both"/>
      </w:pPr>
      <w:r>
        <w:t>Siguiendo la clasificación etaria del INDEC, se</w:t>
      </w:r>
      <w:r w:rsidR="003345CA">
        <w:t xml:space="preserve"> puede</w:t>
      </w:r>
      <w:r>
        <w:t xml:space="preserve"> visibiliza</w:t>
      </w:r>
      <w:r w:rsidR="003345CA">
        <w:t>r</w:t>
      </w:r>
      <w:r w:rsidR="004049E6">
        <w:t xml:space="preserve"> a partir de la información al primer semestre 2019</w:t>
      </w:r>
      <w:r>
        <w:t xml:space="preserve"> la situación crítica de los </w:t>
      </w:r>
      <w:r w:rsidRPr="00804594">
        <w:rPr>
          <w:b/>
        </w:rPr>
        <w:t>chicos y chicas menores de 15 años</w:t>
      </w:r>
      <w:r>
        <w:t xml:space="preserve"> de nuestro país: el </w:t>
      </w:r>
      <w:r w:rsidRPr="003345CA">
        <w:rPr>
          <w:b/>
        </w:rPr>
        <w:t>52,6%</w:t>
      </w:r>
      <w:r>
        <w:t xml:space="preserve"> (</w:t>
      </w:r>
      <w:r w:rsidRPr="003345CA">
        <w:rPr>
          <w:b/>
        </w:rPr>
        <w:t>5.792.631</w:t>
      </w:r>
      <w:r w:rsidR="003345CA" w:rsidRPr="003345CA">
        <w:rPr>
          <w:b/>
        </w:rPr>
        <w:t xml:space="preserve"> de chicos</w:t>
      </w:r>
      <w:r>
        <w:t xml:space="preserve">) es </w:t>
      </w:r>
      <w:r w:rsidRPr="00BC07C6">
        <w:t>pobre</w:t>
      </w:r>
      <w:r>
        <w:t xml:space="preserve">, y al interior de ellos el </w:t>
      </w:r>
      <w:r w:rsidRPr="003345CA">
        <w:rPr>
          <w:b/>
        </w:rPr>
        <w:t>13,1%</w:t>
      </w:r>
      <w:r>
        <w:t xml:space="preserve"> (</w:t>
      </w:r>
      <w:r w:rsidRPr="003345CA">
        <w:rPr>
          <w:b/>
        </w:rPr>
        <w:t>1.442.651</w:t>
      </w:r>
      <w:r w:rsidR="0026753B">
        <w:rPr>
          <w:b/>
        </w:rPr>
        <w:t xml:space="preserve"> niños</w:t>
      </w:r>
      <w:r>
        <w:t xml:space="preserve">) se encuentra en </w:t>
      </w:r>
      <w:r w:rsidRPr="00BC07C6">
        <w:t>situación de indigencia</w:t>
      </w:r>
      <w:r w:rsidR="00BC07C6">
        <w:t>.</w:t>
      </w:r>
      <w:r>
        <w:t xml:space="preserve"> Es decir, poco más de la mitad de los niños y las niñas argentinas vive en hogares cuyos ingresos no cubren una canasta básica familiar de bienes y servicios básicos. Mientras que, casi un millón y medio de ellos tiene problemas para alimentarse de forma adecuada, debido a que sus hogares no logran acceder a una canasta básica de alimentos</w:t>
      </w:r>
      <w:r w:rsidR="003345CA">
        <w:t xml:space="preserve"> adecuada</w:t>
      </w:r>
      <w:r>
        <w:t>. El segmento de 0 a 14 años tiene las tasas de pobreza e indigencia más altas de los 4 grupos de edad, y explica más de la tercera parte de la totalidad de pobres y más del 40% de los indigentes.</w:t>
      </w:r>
    </w:p>
    <w:p w:rsidR="00F56721" w:rsidRDefault="00F56721" w:rsidP="004049E6">
      <w:pPr>
        <w:ind w:firstLine="708"/>
        <w:jc w:val="both"/>
      </w:pPr>
      <w:r>
        <w:t>La situación social de los jóvenes de entre 15 y 29 años no es para nada alentadora. El 42,3% (4.469.678) es pobre y el 9,4% (993.262) es indigente</w:t>
      </w:r>
      <w:r w:rsidR="00A077D6">
        <w:t>, todavía por encima de la media de nacional</w:t>
      </w:r>
      <w:r>
        <w:t xml:space="preserve">. </w:t>
      </w:r>
      <w:r w:rsidR="00A077D6">
        <w:t>Por su parte, del total de</w:t>
      </w:r>
      <w:r w:rsidR="00BC07C6">
        <w:t xml:space="preserve"> adultos entre</w:t>
      </w:r>
      <w:r>
        <w:t xml:space="preserve"> </w:t>
      </w:r>
      <w:r w:rsidR="003345CA">
        <w:t xml:space="preserve">30 a 64 años, </w:t>
      </w:r>
      <w:r>
        <w:t>5.538.853 son pobres y 1.074.975 son indigentes</w:t>
      </w:r>
      <w:r w:rsidR="00BC07C6">
        <w:t>,</w:t>
      </w:r>
      <w:r w:rsidR="00A077D6">
        <w:t xml:space="preserve"> mientras </w:t>
      </w:r>
      <w:r>
        <w:t xml:space="preserve">el grupo de los </w:t>
      </w:r>
      <w:r w:rsidRPr="00804594">
        <w:rPr>
          <w:b/>
        </w:rPr>
        <w:t xml:space="preserve">adultos mayores </w:t>
      </w:r>
      <w:r w:rsidRPr="00BC07C6">
        <w:t>de 65 años</w:t>
      </w:r>
      <w:r>
        <w:t xml:space="preserve">, el </w:t>
      </w:r>
      <w:r w:rsidRPr="00804594">
        <w:rPr>
          <w:b/>
        </w:rPr>
        <w:t xml:space="preserve">10,4% </w:t>
      </w:r>
      <w:r w:rsidRPr="00BC07C6">
        <w:t>(528.742) es pobre</w:t>
      </w:r>
      <w:r>
        <w:t xml:space="preserve"> y </w:t>
      </w:r>
      <w:r w:rsidRPr="00804594">
        <w:rPr>
          <w:b/>
        </w:rPr>
        <w:t xml:space="preserve">1,2% </w:t>
      </w:r>
      <w:r w:rsidRPr="00BC07C6">
        <w:t>(61.009) es indigente</w:t>
      </w:r>
      <w:r>
        <w:t>.</w:t>
      </w:r>
    </w:p>
    <w:p w:rsidR="00D726CF" w:rsidRDefault="00D726CF" w:rsidP="003345CA">
      <w:pPr>
        <w:jc w:val="both"/>
        <w:rPr>
          <w:b/>
        </w:rPr>
      </w:pPr>
    </w:p>
    <w:p w:rsidR="00D726CF" w:rsidRDefault="00D726CF" w:rsidP="003345CA">
      <w:pPr>
        <w:jc w:val="both"/>
        <w:rPr>
          <w:b/>
        </w:rPr>
      </w:pPr>
    </w:p>
    <w:p w:rsidR="00D726CF" w:rsidRDefault="00D726CF" w:rsidP="003345CA">
      <w:pPr>
        <w:jc w:val="both"/>
        <w:rPr>
          <w:b/>
        </w:rPr>
      </w:pPr>
    </w:p>
    <w:p w:rsidR="00D726CF" w:rsidRDefault="00D726CF" w:rsidP="003345CA">
      <w:pPr>
        <w:jc w:val="both"/>
        <w:rPr>
          <w:b/>
        </w:rPr>
      </w:pPr>
    </w:p>
    <w:p w:rsidR="00F56721" w:rsidRPr="00804594" w:rsidRDefault="00F56721" w:rsidP="003345CA">
      <w:pPr>
        <w:jc w:val="both"/>
        <w:rPr>
          <w:b/>
        </w:rPr>
      </w:pPr>
      <w:r w:rsidRPr="00804594">
        <w:rPr>
          <w:b/>
          <w:noProof/>
          <w:lang w:val="es-AR" w:eastAsia="es-AR"/>
        </w:rPr>
        <w:drawing>
          <wp:anchor distT="0" distB="0" distL="114300" distR="114300" simplePos="0" relativeHeight="251661312" behindDoc="1" locked="0" layoutInCell="1" allowOverlap="1">
            <wp:simplePos x="0" y="0"/>
            <wp:positionH relativeFrom="column">
              <wp:posOffset>-432435</wp:posOffset>
            </wp:positionH>
            <wp:positionV relativeFrom="paragraph">
              <wp:posOffset>302895</wp:posOffset>
            </wp:positionV>
            <wp:extent cx="6143625" cy="1504950"/>
            <wp:effectExtent l="19050" t="0" r="9525" b="0"/>
            <wp:wrapTight wrapText="bothSides">
              <wp:wrapPolygon edited="0">
                <wp:start x="6028" y="0"/>
                <wp:lineTo x="-67" y="2461"/>
                <wp:lineTo x="-67" y="21053"/>
                <wp:lineTo x="21633" y="21053"/>
                <wp:lineTo x="21633" y="0"/>
                <wp:lineTo x="6028" y="0"/>
              </wp:wrapPolygon>
            </wp:wrapTight>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143625" cy="1504950"/>
                    </a:xfrm>
                    <a:prstGeom prst="rect">
                      <a:avLst/>
                    </a:prstGeom>
                    <a:noFill/>
                    <a:ln w="9525">
                      <a:noFill/>
                      <a:miter lim="800000"/>
                      <a:headEnd/>
                      <a:tailEnd/>
                    </a:ln>
                  </pic:spPr>
                </pic:pic>
              </a:graphicData>
            </a:graphic>
          </wp:anchor>
        </w:drawing>
      </w:r>
      <w:r w:rsidRPr="00804594">
        <w:rPr>
          <w:b/>
        </w:rPr>
        <w:t xml:space="preserve">Cuadro Nº </w:t>
      </w:r>
      <w:r w:rsidR="00E42FF7">
        <w:rPr>
          <w:b/>
        </w:rPr>
        <w:t>6</w:t>
      </w:r>
      <w:r w:rsidRPr="00804594">
        <w:rPr>
          <w:b/>
        </w:rPr>
        <w:t>. Foto de la pobreza e indigencia al 2º Trimestre de 2019.</w:t>
      </w:r>
      <w:r w:rsidR="00BC07C6">
        <w:rPr>
          <w:b/>
        </w:rPr>
        <w:t xml:space="preserve"> Total Nacional.</w:t>
      </w:r>
    </w:p>
    <w:p w:rsidR="003345CA" w:rsidRDefault="003345CA" w:rsidP="0026753B">
      <w:pPr>
        <w:spacing w:after="0"/>
        <w:jc w:val="center"/>
        <w:rPr>
          <w:rFonts w:cs="Times New Roman"/>
          <w:sz w:val="20"/>
          <w:szCs w:val="24"/>
        </w:rPr>
      </w:pPr>
      <w:r w:rsidRPr="00ED19B3">
        <w:rPr>
          <w:rFonts w:cs="Times New Roman"/>
          <w:sz w:val="20"/>
          <w:szCs w:val="24"/>
          <w:u w:val="single"/>
        </w:rPr>
        <w:t>Fuente</w:t>
      </w:r>
      <w:r w:rsidRPr="00ED19B3">
        <w:rPr>
          <w:rFonts w:cs="Times New Roman"/>
          <w:sz w:val="20"/>
          <w:szCs w:val="24"/>
        </w:rPr>
        <w:t>: Elaboración propia en base a datos de la EPH-INDEC.</w:t>
      </w:r>
    </w:p>
    <w:p w:rsidR="0026753B" w:rsidRDefault="0026753B" w:rsidP="0026753B">
      <w:pPr>
        <w:spacing w:line="240" w:lineRule="auto"/>
        <w:jc w:val="center"/>
        <w:rPr>
          <w:rFonts w:ascii="Calibri" w:eastAsia="Times New Roman" w:hAnsi="Calibri" w:cs="Times New Roman"/>
          <w:color w:val="000000"/>
          <w:sz w:val="18"/>
          <w:szCs w:val="20"/>
          <w:lang w:eastAsia="es-ES"/>
        </w:rPr>
      </w:pPr>
      <w:r w:rsidRPr="003345CA">
        <w:rPr>
          <w:rFonts w:ascii="Calibri" w:eastAsia="Times New Roman" w:hAnsi="Calibri" w:cs="Times New Roman"/>
          <w:color w:val="000000"/>
          <w:sz w:val="18"/>
          <w:szCs w:val="20"/>
          <w:lang w:eastAsia="es-ES"/>
        </w:rPr>
        <w:t xml:space="preserve">Nota: la suma de las poblaciones puede no coincidir </w:t>
      </w:r>
      <w:r>
        <w:rPr>
          <w:rFonts w:ascii="Calibri" w:eastAsia="Times New Roman" w:hAnsi="Calibri" w:cs="Times New Roman"/>
          <w:color w:val="000000"/>
          <w:sz w:val="18"/>
          <w:szCs w:val="20"/>
          <w:lang w:eastAsia="es-ES"/>
        </w:rPr>
        <w:t>con el total, ya que</w:t>
      </w:r>
      <w:r w:rsidRPr="003345CA">
        <w:rPr>
          <w:rFonts w:ascii="Calibri" w:eastAsia="Times New Roman" w:hAnsi="Calibri" w:cs="Times New Roman"/>
          <w:color w:val="000000"/>
          <w:sz w:val="18"/>
          <w:szCs w:val="20"/>
          <w:lang w:eastAsia="es-ES"/>
        </w:rPr>
        <w:t xml:space="preserve"> los porcentajes publicados por el INDEC están redondeados a un decimal.</w:t>
      </w:r>
    </w:p>
    <w:p w:rsidR="00F56721" w:rsidRDefault="0026753B" w:rsidP="004049E6">
      <w:pPr>
        <w:ind w:firstLine="708"/>
        <w:jc w:val="both"/>
      </w:pPr>
      <w:r>
        <w:t>A</w:t>
      </w:r>
      <w:r w:rsidR="00F56721">
        <w:t xml:space="preserve"> partir de los datos semestrales</w:t>
      </w:r>
      <w:r>
        <w:t>, y conjuntamente con los del primer trimestre del año</w:t>
      </w:r>
      <w:r w:rsidR="00F56721">
        <w:t>,</w:t>
      </w:r>
      <w:r>
        <w:t xml:space="preserve"> es posible determinar que</w:t>
      </w:r>
      <w:r w:rsidR="00F56721" w:rsidRPr="0026753B">
        <w:rPr>
          <w:i/>
        </w:rPr>
        <w:t xml:space="preserve"> </w:t>
      </w:r>
      <w:r>
        <w:rPr>
          <w:i/>
        </w:rPr>
        <w:t>la situación social relativa</w:t>
      </w:r>
      <w:r w:rsidRPr="0026753B">
        <w:rPr>
          <w:i/>
        </w:rPr>
        <w:t xml:space="preserve"> </w:t>
      </w:r>
      <w:r w:rsidR="00F56721" w:rsidRPr="0026753B">
        <w:rPr>
          <w:i/>
        </w:rPr>
        <w:t>al segundo trimestre</w:t>
      </w:r>
      <w:r>
        <w:rPr>
          <w:i/>
        </w:rPr>
        <w:t xml:space="preserve"> </w:t>
      </w:r>
      <w:r w:rsidR="00F56721" w:rsidRPr="0026753B">
        <w:rPr>
          <w:i/>
        </w:rPr>
        <w:t>es aún más grave.</w:t>
      </w:r>
      <w:r w:rsidR="00F56721">
        <w:t xml:space="preserve"> </w:t>
      </w:r>
      <w:r w:rsidR="00804594">
        <w:t>Esto se refleja en que l</w:t>
      </w:r>
      <w:r w:rsidR="00F56721">
        <w:t xml:space="preserve">a </w:t>
      </w:r>
      <w:r w:rsidR="00F56721" w:rsidRPr="00804594">
        <w:t>pobreza</w:t>
      </w:r>
      <w:r w:rsidR="00F56721">
        <w:t xml:space="preserve"> ya afecta al </w:t>
      </w:r>
      <w:r w:rsidR="00F56721" w:rsidRPr="00804594">
        <w:rPr>
          <w:b/>
        </w:rPr>
        <w:t xml:space="preserve">54,6% </w:t>
      </w:r>
      <w:r w:rsidR="00F56721" w:rsidRPr="00804594">
        <w:t>de los menores de 15 años</w:t>
      </w:r>
      <w:r w:rsidR="00F56721" w:rsidRPr="00804594">
        <w:rPr>
          <w:b/>
        </w:rPr>
        <w:t xml:space="preserve"> </w:t>
      </w:r>
      <w:r w:rsidR="00F56721" w:rsidRPr="0026753B">
        <w:t>(6.020.569 son pobres)</w:t>
      </w:r>
      <w:r w:rsidR="00F56721">
        <w:t xml:space="preserve"> mientras que la </w:t>
      </w:r>
      <w:r w:rsidR="00F56721" w:rsidRPr="00804594">
        <w:t>indigencia</w:t>
      </w:r>
      <w:r w:rsidR="00F56721">
        <w:t xml:space="preserve"> afecta al </w:t>
      </w:r>
      <w:r w:rsidR="00F56721" w:rsidRPr="00804594">
        <w:rPr>
          <w:b/>
        </w:rPr>
        <w:t xml:space="preserve">14,8% </w:t>
      </w:r>
      <w:r w:rsidR="00F56721" w:rsidRPr="0026753B">
        <w:t>(1.626.735 pasan hambre).</w:t>
      </w:r>
      <w:r w:rsidR="00F56721">
        <w:t xml:space="preserve"> El empeoramiento de las condiciones de vida se generaliza al resto de los grupos: el 44% de los jóvenes (4.660.129) de 15 a 29 son pobres, y el 10,1% (1.066.475</w:t>
      </w:r>
      <w:r>
        <w:t>) son indigentes. Los adultos entre</w:t>
      </w:r>
      <w:r w:rsidR="00F56721">
        <w:t xml:space="preserve"> 30 a 64 años muestran tasas de pobreza del 31,2% y de indigencia del 6,0%. Finalmente, el </w:t>
      </w:r>
      <w:r w:rsidR="00F56721" w:rsidRPr="00804594">
        <w:rPr>
          <w:b/>
        </w:rPr>
        <w:t xml:space="preserve">11,8% </w:t>
      </w:r>
      <w:r w:rsidR="00F56721" w:rsidRPr="0026753B">
        <w:t xml:space="preserve">de </w:t>
      </w:r>
      <w:r w:rsidRPr="0026753B">
        <w:t xml:space="preserve">nuestros abuelos </w:t>
      </w:r>
      <w:r w:rsidR="00F56721" w:rsidRPr="0026753B">
        <w:t>es pobre</w:t>
      </w:r>
      <w:r w:rsidR="00F56721">
        <w:t xml:space="preserve"> y el </w:t>
      </w:r>
      <w:r w:rsidR="00F56721" w:rsidRPr="00804594">
        <w:rPr>
          <w:b/>
        </w:rPr>
        <w:t xml:space="preserve">1,2% </w:t>
      </w:r>
      <w:r w:rsidR="00F56721" w:rsidRPr="0026753B">
        <w:t>pasa hambre.</w:t>
      </w:r>
    </w:p>
    <w:p w:rsidR="004049E6" w:rsidRDefault="004049E6" w:rsidP="003345CA">
      <w:pPr>
        <w:jc w:val="both"/>
      </w:pPr>
    </w:p>
    <w:p w:rsidR="00F56721" w:rsidRPr="00804594" w:rsidRDefault="00F56721" w:rsidP="003345CA">
      <w:pPr>
        <w:jc w:val="both"/>
        <w:rPr>
          <w:b/>
        </w:rPr>
      </w:pPr>
      <w:r w:rsidRPr="00804594">
        <w:rPr>
          <w:b/>
          <w:noProof/>
          <w:lang w:val="es-AR" w:eastAsia="es-AR"/>
        </w:rPr>
        <w:drawing>
          <wp:anchor distT="0" distB="0" distL="114300" distR="114300" simplePos="0" relativeHeight="251660288" behindDoc="1" locked="0" layoutInCell="1" allowOverlap="1">
            <wp:simplePos x="0" y="0"/>
            <wp:positionH relativeFrom="column">
              <wp:posOffset>-394335</wp:posOffset>
            </wp:positionH>
            <wp:positionV relativeFrom="paragraph">
              <wp:posOffset>481330</wp:posOffset>
            </wp:positionV>
            <wp:extent cx="6379845" cy="1810385"/>
            <wp:effectExtent l="19050" t="0" r="1905" b="0"/>
            <wp:wrapTight wrapText="bothSides">
              <wp:wrapPolygon edited="0">
                <wp:start x="2838" y="0"/>
                <wp:lineTo x="193" y="2046"/>
                <wp:lineTo x="-64" y="2500"/>
                <wp:lineTo x="-64" y="21138"/>
                <wp:lineTo x="21606" y="21138"/>
                <wp:lineTo x="21606" y="0"/>
                <wp:lineTo x="2838" y="0"/>
              </wp:wrapPolygon>
            </wp:wrapTight>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379845" cy="1810385"/>
                    </a:xfrm>
                    <a:prstGeom prst="rect">
                      <a:avLst/>
                    </a:prstGeom>
                    <a:noFill/>
                    <a:ln w="9525">
                      <a:noFill/>
                      <a:miter lim="800000"/>
                      <a:headEnd/>
                      <a:tailEnd/>
                    </a:ln>
                  </pic:spPr>
                </pic:pic>
              </a:graphicData>
            </a:graphic>
          </wp:anchor>
        </w:drawing>
      </w:r>
      <w:r w:rsidRPr="00804594">
        <w:rPr>
          <w:b/>
        </w:rPr>
        <w:t xml:space="preserve">Cuadro Nº </w:t>
      </w:r>
      <w:r w:rsidR="00E42FF7">
        <w:rPr>
          <w:b/>
        </w:rPr>
        <w:t>7</w:t>
      </w:r>
      <w:r w:rsidRPr="00804594">
        <w:rPr>
          <w:b/>
        </w:rPr>
        <w:t>. Evolución anual de la pobreza e indige</w:t>
      </w:r>
      <w:r w:rsidR="00804594">
        <w:rPr>
          <w:b/>
        </w:rPr>
        <w:t>ncia por grupo de edad. 2º Trimestre 2018 vs</w:t>
      </w:r>
      <w:r w:rsidRPr="00804594">
        <w:rPr>
          <w:b/>
        </w:rPr>
        <w:t xml:space="preserve"> 2º Trim</w:t>
      </w:r>
      <w:r w:rsidR="00804594">
        <w:rPr>
          <w:b/>
        </w:rPr>
        <w:t>estre</w:t>
      </w:r>
      <w:r w:rsidRPr="00804594">
        <w:rPr>
          <w:b/>
        </w:rPr>
        <w:t xml:space="preserve"> 2019.</w:t>
      </w:r>
      <w:r w:rsidR="0026753B">
        <w:rPr>
          <w:b/>
        </w:rPr>
        <w:t xml:space="preserve"> Total Nacional.</w:t>
      </w:r>
    </w:p>
    <w:p w:rsidR="003345CA" w:rsidRDefault="003345CA" w:rsidP="003345CA">
      <w:pPr>
        <w:spacing w:after="0"/>
        <w:jc w:val="both"/>
        <w:rPr>
          <w:rFonts w:cs="Times New Roman"/>
          <w:sz w:val="20"/>
          <w:szCs w:val="24"/>
        </w:rPr>
      </w:pPr>
      <w:r w:rsidRPr="00ED19B3">
        <w:rPr>
          <w:rFonts w:cs="Times New Roman"/>
          <w:sz w:val="20"/>
          <w:szCs w:val="24"/>
          <w:u w:val="single"/>
        </w:rPr>
        <w:t>Fuente</w:t>
      </w:r>
      <w:r w:rsidRPr="00ED19B3">
        <w:rPr>
          <w:rFonts w:cs="Times New Roman"/>
          <w:sz w:val="20"/>
          <w:szCs w:val="24"/>
        </w:rPr>
        <w:t>: Elaboración propia en base a datos de la EPH-INDEC.</w:t>
      </w:r>
    </w:p>
    <w:p w:rsidR="00F56721" w:rsidRDefault="003345CA" w:rsidP="003345CA">
      <w:pPr>
        <w:spacing w:line="240" w:lineRule="auto"/>
        <w:jc w:val="both"/>
        <w:rPr>
          <w:sz w:val="20"/>
        </w:rPr>
      </w:pPr>
      <w:r w:rsidRPr="003345CA">
        <w:rPr>
          <w:rFonts w:ascii="Calibri" w:eastAsia="Times New Roman" w:hAnsi="Calibri" w:cs="Times New Roman"/>
          <w:color w:val="000000"/>
          <w:sz w:val="18"/>
          <w:szCs w:val="20"/>
          <w:lang w:eastAsia="es-ES"/>
        </w:rPr>
        <w:t>Nota: la suma de las poblaciones puede no coincidir porque los porcentajes publicados por el INDEC están redondeados a un decimal.</w:t>
      </w:r>
    </w:p>
    <w:p w:rsidR="003345CA" w:rsidRPr="003345CA" w:rsidRDefault="003345CA" w:rsidP="003345CA">
      <w:pPr>
        <w:spacing w:line="240" w:lineRule="auto"/>
        <w:jc w:val="both"/>
        <w:rPr>
          <w:sz w:val="20"/>
        </w:rPr>
      </w:pPr>
    </w:p>
    <w:p w:rsidR="00F56721" w:rsidRPr="00804594" w:rsidRDefault="00A077D6" w:rsidP="004049E6">
      <w:pPr>
        <w:ind w:firstLine="708"/>
        <w:jc w:val="both"/>
      </w:pPr>
      <w:r>
        <w:t>Como ya fue explicitado, l</w:t>
      </w:r>
      <w:r w:rsidR="00F56721">
        <w:t xml:space="preserve">as condiciones de vida de la población se encuentran en un proceso de deterioro desde el inicio de la crisis cambiaria en abril del 2018, profundizándose  desde entonces  en el contexto de la vigencia del acuerdo con el FMI. Entre junio de 2018 y junio de 2019, la </w:t>
      </w:r>
      <w:r w:rsidR="00F56721" w:rsidRPr="00804594">
        <w:t>tasa de pobreza de los adultos mayores saltó del</w:t>
      </w:r>
      <w:r w:rsidR="00F56721" w:rsidRPr="00804594">
        <w:rPr>
          <w:b/>
        </w:rPr>
        <w:t xml:space="preserve"> 7,0% </w:t>
      </w:r>
      <w:r w:rsidR="00F56721" w:rsidRPr="0026753B">
        <w:t>al</w:t>
      </w:r>
      <w:r w:rsidR="00F56721" w:rsidRPr="00804594">
        <w:rPr>
          <w:b/>
        </w:rPr>
        <w:t xml:space="preserve"> 11,8%</w:t>
      </w:r>
      <w:r w:rsidR="00804594">
        <w:t xml:space="preserve">, </w:t>
      </w:r>
      <w:r w:rsidR="00F56721">
        <w:t xml:space="preserve">y </w:t>
      </w:r>
      <w:r w:rsidR="00F56721" w:rsidRPr="00804594">
        <w:t>la tasa de pobreza de los menores de 15 años se disparó del</w:t>
      </w:r>
      <w:r w:rsidR="00F56721" w:rsidRPr="00804594">
        <w:rPr>
          <w:b/>
        </w:rPr>
        <w:t xml:space="preserve"> 43,8% </w:t>
      </w:r>
      <w:r w:rsidR="00F56721" w:rsidRPr="0026753B">
        <w:t>al</w:t>
      </w:r>
      <w:r w:rsidR="00F56721" w:rsidRPr="00804594">
        <w:rPr>
          <w:b/>
        </w:rPr>
        <w:t xml:space="preserve"> 54,6%</w:t>
      </w:r>
      <w:r w:rsidR="00F56721">
        <w:t xml:space="preserve">. </w:t>
      </w:r>
      <w:r w:rsidR="00804594">
        <w:t>E</w:t>
      </w:r>
      <w:r w:rsidR="00F56721">
        <w:t>n</w:t>
      </w:r>
      <w:r w:rsidR="00804594">
        <w:t xml:space="preserve"> tan solo</w:t>
      </w:r>
      <w:r w:rsidR="00F56721">
        <w:t xml:space="preserve"> un año</w:t>
      </w:r>
      <w:r w:rsidR="00804594">
        <w:t>,</w:t>
      </w:r>
      <w:r w:rsidR="00F56721">
        <w:t xml:space="preserve"> las políticas de Macri y el FMI </w:t>
      </w:r>
      <w:r w:rsidR="00804594">
        <w:t>desplazaron</w:t>
      </w:r>
      <w:r>
        <w:t xml:space="preserve"> </w:t>
      </w:r>
      <w:r w:rsidR="00F56721" w:rsidRPr="00804594">
        <w:t xml:space="preserve">a </w:t>
      </w:r>
      <w:r>
        <w:rPr>
          <w:b/>
          <w:i/>
        </w:rPr>
        <w:t>251.672 adultos mayores</w:t>
      </w:r>
      <w:r w:rsidR="00F56721" w:rsidRPr="00804594">
        <w:rPr>
          <w:b/>
          <w:i/>
        </w:rPr>
        <w:t xml:space="preserve"> </w:t>
      </w:r>
      <w:r w:rsidR="00F56721" w:rsidRPr="0026753B">
        <w:t>y  a</w:t>
      </w:r>
      <w:r w:rsidR="00F56721" w:rsidRPr="00804594">
        <w:rPr>
          <w:b/>
          <w:i/>
        </w:rPr>
        <w:t xml:space="preserve"> 1.214.825 niños</w:t>
      </w:r>
      <w:r>
        <w:rPr>
          <w:b/>
          <w:i/>
        </w:rPr>
        <w:t xml:space="preserve"> y niñas</w:t>
      </w:r>
      <w:r w:rsidR="00F56721" w:rsidRPr="00804594">
        <w:rPr>
          <w:b/>
          <w:i/>
        </w:rPr>
        <w:t xml:space="preserve"> más</w:t>
      </w:r>
      <w:r>
        <w:rPr>
          <w:b/>
          <w:i/>
        </w:rPr>
        <w:t>,</w:t>
      </w:r>
      <w:r w:rsidR="00F56721" w:rsidRPr="00804594">
        <w:rPr>
          <w:b/>
          <w:i/>
        </w:rPr>
        <w:t xml:space="preserve"> </w:t>
      </w:r>
      <w:r w:rsidR="00F56721" w:rsidRPr="0026753B">
        <w:t>bajo la línea de la pobreza.</w:t>
      </w:r>
      <w:r w:rsidR="00F56721" w:rsidRPr="00804594">
        <w:t xml:space="preserve">  </w:t>
      </w:r>
    </w:p>
    <w:p w:rsidR="00AF7D19" w:rsidRPr="0030522A" w:rsidRDefault="00F56721" w:rsidP="00D30730">
      <w:pPr>
        <w:ind w:firstLine="708"/>
        <w:jc w:val="both"/>
        <w:rPr>
          <w:rFonts w:cs="Times New Roman"/>
          <w:sz w:val="20"/>
          <w:szCs w:val="18"/>
        </w:rPr>
      </w:pPr>
      <w:r>
        <w:t xml:space="preserve">Estos dos grupos vulnerables fueron profundamente afectados por el encarecimiento de los alimentos, cuyo efecto quedó plasmado en el </w:t>
      </w:r>
      <w:r w:rsidRPr="00804594">
        <w:t xml:space="preserve">aumento del </w:t>
      </w:r>
      <w:r w:rsidRPr="00804594">
        <w:rPr>
          <w:b/>
        </w:rPr>
        <w:t xml:space="preserve">79,1% </w:t>
      </w:r>
      <w:r w:rsidRPr="00A2156F">
        <w:t>de la tasa de indigencia</w:t>
      </w:r>
      <w:r w:rsidR="00D726CF" w:rsidRPr="00A2156F">
        <w:t xml:space="preserve"> </w:t>
      </w:r>
      <w:r w:rsidR="00A2156F">
        <w:t>para</w:t>
      </w:r>
      <w:r w:rsidRPr="00A2156F">
        <w:t xml:space="preserve"> los menores de 15</w:t>
      </w:r>
      <w:r w:rsidRPr="00804594">
        <w:t xml:space="preserve"> (de 8,2% a 14,8%)</w:t>
      </w:r>
      <w:r w:rsidR="00804594">
        <w:t xml:space="preserve"> y del </w:t>
      </w:r>
      <w:r w:rsidRPr="00804594">
        <w:rPr>
          <w:b/>
        </w:rPr>
        <w:t xml:space="preserve">74,6% </w:t>
      </w:r>
      <w:r w:rsidRPr="00A2156F">
        <w:t xml:space="preserve">de la tasa de indigencia </w:t>
      </w:r>
      <w:r w:rsidR="00A2156F" w:rsidRPr="00A2156F">
        <w:t>para</w:t>
      </w:r>
      <w:r w:rsidRPr="00A2156F">
        <w:t xml:space="preserve"> los mayores de 65</w:t>
      </w:r>
      <w:r w:rsidRPr="00804594">
        <w:rPr>
          <w:b/>
        </w:rPr>
        <w:t xml:space="preserve"> </w:t>
      </w:r>
      <w:r w:rsidRPr="00804594">
        <w:t>(de 0,7% a 1,2%).</w:t>
      </w:r>
      <w:r>
        <w:t xml:space="preserve"> Como resultado, en tan solo un año </w:t>
      </w:r>
      <w:r w:rsidRPr="00804594">
        <w:rPr>
          <w:b/>
          <w:i/>
        </w:rPr>
        <w:t>722.947</w:t>
      </w:r>
      <w:r w:rsidR="00A077D6">
        <w:rPr>
          <w:b/>
          <w:i/>
        </w:rPr>
        <w:t xml:space="preserve"> de nuestros</w:t>
      </w:r>
      <w:r w:rsidRPr="00804594">
        <w:rPr>
          <w:b/>
          <w:i/>
        </w:rPr>
        <w:t xml:space="preserve"> pibes </w:t>
      </w:r>
      <w:r w:rsidRPr="00A2156F">
        <w:t>y</w:t>
      </w:r>
      <w:r w:rsidRPr="00804594">
        <w:rPr>
          <w:b/>
          <w:i/>
        </w:rPr>
        <w:t xml:space="preserve"> 26.216 </w:t>
      </w:r>
      <w:r w:rsidR="00A077D6">
        <w:rPr>
          <w:b/>
          <w:i/>
        </w:rPr>
        <w:t xml:space="preserve">de nuestros </w:t>
      </w:r>
      <w:r w:rsidRPr="00804594">
        <w:rPr>
          <w:b/>
          <w:i/>
        </w:rPr>
        <w:t>abuelos</w:t>
      </w:r>
      <w:r w:rsidR="00A077D6">
        <w:rPr>
          <w:b/>
          <w:i/>
        </w:rPr>
        <w:t>/as</w:t>
      </w:r>
      <w:r w:rsidRPr="00804594">
        <w:rPr>
          <w:b/>
          <w:i/>
        </w:rPr>
        <w:t xml:space="preserve"> </w:t>
      </w:r>
      <w:r w:rsidRPr="00A2156F">
        <w:t>fueron llevados al hambre.</w:t>
      </w:r>
    </w:p>
    <w:sectPr w:rsidR="00AF7D19" w:rsidRPr="0030522A" w:rsidSect="003F53A6">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E54" w:rsidRDefault="00833E54" w:rsidP="00D949ED">
      <w:pPr>
        <w:spacing w:after="0" w:line="240" w:lineRule="auto"/>
      </w:pPr>
      <w:r>
        <w:separator/>
      </w:r>
    </w:p>
  </w:endnote>
  <w:endnote w:type="continuationSeparator" w:id="0">
    <w:p w:rsidR="00833E54" w:rsidRDefault="00833E54" w:rsidP="00D94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379501"/>
      <w:docPartObj>
        <w:docPartGallery w:val="Page Numbers (Bottom of Page)"/>
        <w:docPartUnique/>
      </w:docPartObj>
    </w:sdtPr>
    <w:sdtEndPr>
      <w:rPr>
        <w:b/>
      </w:rPr>
    </w:sdtEndPr>
    <w:sdtContent>
      <w:p w:rsidR="005A186F" w:rsidRPr="008E0432" w:rsidRDefault="00B431BB">
        <w:pPr>
          <w:pStyle w:val="Piedepgina"/>
          <w:jc w:val="right"/>
          <w:rPr>
            <w:b/>
          </w:rPr>
        </w:pPr>
        <w:r w:rsidRPr="008E0432">
          <w:rPr>
            <w:b/>
            <w:sz w:val="20"/>
          </w:rPr>
          <w:fldChar w:fldCharType="begin"/>
        </w:r>
        <w:r w:rsidR="005A186F" w:rsidRPr="008E0432">
          <w:rPr>
            <w:b/>
            <w:sz w:val="20"/>
          </w:rPr>
          <w:instrText xml:space="preserve"> PAGE   \* MERGEFORMAT </w:instrText>
        </w:r>
        <w:r w:rsidRPr="008E0432">
          <w:rPr>
            <w:b/>
            <w:sz w:val="20"/>
          </w:rPr>
          <w:fldChar w:fldCharType="separate"/>
        </w:r>
        <w:r w:rsidR="00833E54">
          <w:rPr>
            <w:b/>
            <w:noProof/>
            <w:sz w:val="20"/>
          </w:rPr>
          <w:t>1</w:t>
        </w:r>
        <w:r w:rsidRPr="008E0432">
          <w:rPr>
            <w:b/>
            <w:sz w:val="20"/>
          </w:rPr>
          <w:fldChar w:fldCharType="end"/>
        </w:r>
      </w:p>
    </w:sdtContent>
  </w:sdt>
  <w:p w:rsidR="005A186F" w:rsidRDefault="005A18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E54" w:rsidRDefault="00833E54" w:rsidP="00D949ED">
      <w:pPr>
        <w:spacing w:after="0" w:line="240" w:lineRule="auto"/>
      </w:pPr>
      <w:r>
        <w:separator/>
      </w:r>
    </w:p>
  </w:footnote>
  <w:footnote w:type="continuationSeparator" w:id="0">
    <w:p w:rsidR="00833E54" w:rsidRDefault="00833E54" w:rsidP="00D949ED">
      <w:pPr>
        <w:spacing w:after="0" w:line="240" w:lineRule="auto"/>
      </w:pPr>
      <w:r>
        <w:continuationSeparator/>
      </w:r>
    </w:p>
  </w:footnote>
  <w:footnote w:id="1">
    <w:p w:rsidR="005A186F" w:rsidRPr="00576F90" w:rsidRDefault="005A186F" w:rsidP="008529FE">
      <w:pPr>
        <w:pStyle w:val="Textonotapie"/>
        <w:jc w:val="both"/>
        <w:rPr>
          <w:lang w:val="es-AR"/>
        </w:rPr>
      </w:pPr>
      <w:r>
        <w:rPr>
          <w:rStyle w:val="Refdenotaalpie"/>
        </w:rPr>
        <w:footnoteRef/>
      </w:r>
      <w:r>
        <w:t xml:space="preserve"> </w:t>
      </w:r>
      <w:r w:rsidRPr="00576F90">
        <w:rPr>
          <w:sz w:val="20"/>
          <w:szCs w:val="20"/>
          <w:lang w:val="es-AR"/>
        </w:rPr>
        <w:t>El primer informe “</w:t>
      </w:r>
      <w:r>
        <w:rPr>
          <w:sz w:val="20"/>
          <w:szCs w:val="20"/>
          <w:lang w:val="es-AR"/>
        </w:rPr>
        <w:t xml:space="preserve">Pobreza e indigencia al primer semestre 2019” puede encontrarse en </w:t>
      </w:r>
      <w:hyperlink r:id="rId1" w:history="1">
        <w:r w:rsidRPr="001B2BA2">
          <w:rPr>
            <w:rStyle w:val="Hipervnculo"/>
            <w:sz w:val="20"/>
            <w:szCs w:val="20"/>
            <w:lang w:val="es-AR"/>
          </w:rPr>
          <w:t>www.ipypp.org.ar</w:t>
        </w:r>
      </w:hyperlink>
      <w:r>
        <w:rPr>
          <w:sz w:val="20"/>
          <w:szCs w:val="20"/>
          <w:lang w:val="es-AR"/>
        </w:rPr>
        <w:t xml:space="preserve">. </w:t>
      </w:r>
    </w:p>
  </w:footnote>
  <w:footnote w:id="2">
    <w:p w:rsidR="005A186F" w:rsidRPr="00D949ED" w:rsidRDefault="005A186F">
      <w:pPr>
        <w:pStyle w:val="Textonotapie"/>
        <w:rPr>
          <w:sz w:val="18"/>
          <w:szCs w:val="18"/>
          <w:lang w:val="es-ES_tradnl"/>
        </w:rPr>
      </w:pPr>
      <w:r w:rsidRPr="00D949ED">
        <w:rPr>
          <w:rStyle w:val="Refdenotaalpie"/>
          <w:sz w:val="18"/>
          <w:szCs w:val="18"/>
        </w:rPr>
        <w:footnoteRef/>
      </w:r>
      <w:r w:rsidRPr="00D949ED">
        <w:rPr>
          <w:sz w:val="18"/>
          <w:szCs w:val="18"/>
        </w:rPr>
        <w:t xml:space="preserve"> “Pobreza e Indigencia al primer semestre del 2019” C. Lozano – I</w:t>
      </w:r>
      <w:r>
        <w:rPr>
          <w:sz w:val="18"/>
          <w:szCs w:val="18"/>
        </w:rPr>
        <w:t>P</w:t>
      </w:r>
      <w:r w:rsidRPr="00D949ED">
        <w:rPr>
          <w:sz w:val="18"/>
          <w:szCs w:val="18"/>
        </w:rPr>
        <w:t>yPP. Septiembre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92FAE"/>
    <w:multiLevelType w:val="hybridMultilevel"/>
    <w:tmpl w:val="61546976"/>
    <w:lvl w:ilvl="0" w:tplc="ED2AFC80">
      <w:start w:val="169"/>
      <w:numFmt w:val="bullet"/>
      <w:lvlText w:val="-"/>
      <w:lvlJc w:val="left"/>
      <w:pPr>
        <w:ind w:left="1068" w:hanging="360"/>
      </w:pPr>
      <w:rPr>
        <w:rFonts w:ascii="Calibri" w:eastAsiaTheme="minorHAnsi" w:hAnsi="Calibri" w:cs="Calibr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B215A2"/>
    <w:rsid w:val="000136C4"/>
    <w:rsid w:val="00015FA6"/>
    <w:rsid w:val="00044541"/>
    <w:rsid w:val="000529A8"/>
    <w:rsid w:val="00076A4A"/>
    <w:rsid w:val="00097644"/>
    <w:rsid w:val="000D0515"/>
    <w:rsid w:val="000D0CAF"/>
    <w:rsid w:val="000D1BA0"/>
    <w:rsid w:val="000E0FF9"/>
    <w:rsid w:val="000E5428"/>
    <w:rsid w:val="000E5A5E"/>
    <w:rsid w:val="00103292"/>
    <w:rsid w:val="00120D6D"/>
    <w:rsid w:val="001425C7"/>
    <w:rsid w:val="00164CA0"/>
    <w:rsid w:val="00182194"/>
    <w:rsid w:val="0019284D"/>
    <w:rsid w:val="00192FCB"/>
    <w:rsid w:val="001A3652"/>
    <w:rsid w:val="001A4842"/>
    <w:rsid w:val="001C2436"/>
    <w:rsid w:val="001D0A57"/>
    <w:rsid w:val="002011B7"/>
    <w:rsid w:val="002140A3"/>
    <w:rsid w:val="00223A9E"/>
    <w:rsid w:val="00226256"/>
    <w:rsid w:val="00251D2D"/>
    <w:rsid w:val="0025202A"/>
    <w:rsid w:val="00255D66"/>
    <w:rsid w:val="00255E86"/>
    <w:rsid w:val="00261447"/>
    <w:rsid w:val="0026753B"/>
    <w:rsid w:val="00283930"/>
    <w:rsid w:val="0028778B"/>
    <w:rsid w:val="00295046"/>
    <w:rsid w:val="002A0F2F"/>
    <w:rsid w:val="002B1886"/>
    <w:rsid w:val="002B4CEB"/>
    <w:rsid w:val="002D279F"/>
    <w:rsid w:val="002D3E59"/>
    <w:rsid w:val="002F2851"/>
    <w:rsid w:val="002F75CF"/>
    <w:rsid w:val="002F75DC"/>
    <w:rsid w:val="0030522A"/>
    <w:rsid w:val="00327E02"/>
    <w:rsid w:val="003345CA"/>
    <w:rsid w:val="00336608"/>
    <w:rsid w:val="00393A67"/>
    <w:rsid w:val="00397B27"/>
    <w:rsid w:val="003B1CDD"/>
    <w:rsid w:val="003B4EC4"/>
    <w:rsid w:val="003C7040"/>
    <w:rsid w:val="003F53A6"/>
    <w:rsid w:val="004040EF"/>
    <w:rsid w:val="004049E6"/>
    <w:rsid w:val="004064AC"/>
    <w:rsid w:val="004122FB"/>
    <w:rsid w:val="00422281"/>
    <w:rsid w:val="00422FEB"/>
    <w:rsid w:val="00432642"/>
    <w:rsid w:val="004630D4"/>
    <w:rsid w:val="004727CC"/>
    <w:rsid w:val="00477689"/>
    <w:rsid w:val="00484F33"/>
    <w:rsid w:val="004A0ED9"/>
    <w:rsid w:val="004A55CF"/>
    <w:rsid w:val="004A7729"/>
    <w:rsid w:val="004B00B9"/>
    <w:rsid w:val="004B20D7"/>
    <w:rsid w:val="004D7B58"/>
    <w:rsid w:val="004E1693"/>
    <w:rsid w:val="004E4A6A"/>
    <w:rsid w:val="004F6D13"/>
    <w:rsid w:val="005015A7"/>
    <w:rsid w:val="00503673"/>
    <w:rsid w:val="005063E0"/>
    <w:rsid w:val="00507823"/>
    <w:rsid w:val="00523328"/>
    <w:rsid w:val="005262D0"/>
    <w:rsid w:val="00536D13"/>
    <w:rsid w:val="00542495"/>
    <w:rsid w:val="005562D9"/>
    <w:rsid w:val="00560657"/>
    <w:rsid w:val="00561751"/>
    <w:rsid w:val="00563BFA"/>
    <w:rsid w:val="00576F90"/>
    <w:rsid w:val="00583BB2"/>
    <w:rsid w:val="00593EAF"/>
    <w:rsid w:val="005A186F"/>
    <w:rsid w:val="005A682C"/>
    <w:rsid w:val="005A68EB"/>
    <w:rsid w:val="005B11F9"/>
    <w:rsid w:val="005E34B4"/>
    <w:rsid w:val="005F5D76"/>
    <w:rsid w:val="00612373"/>
    <w:rsid w:val="0061480A"/>
    <w:rsid w:val="00657E25"/>
    <w:rsid w:val="006714C1"/>
    <w:rsid w:val="00691B55"/>
    <w:rsid w:val="00693998"/>
    <w:rsid w:val="006C4437"/>
    <w:rsid w:val="006E6C3C"/>
    <w:rsid w:val="006E7BF3"/>
    <w:rsid w:val="007035C3"/>
    <w:rsid w:val="00703684"/>
    <w:rsid w:val="007130FB"/>
    <w:rsid w:val="007245C6"/>
    <w:rsid w:val="00736598"/>
    <w:rsid w:val="00761595"/>
    <w:rsid w:val="00770A9A"/>
    <w:rsid w:val="00776AF8"/>
    <w:rsid w:val="0078169D"/>
    <w:rsid w:val="00786B06"/>
    <w:rsid w:val="007877E5"/>
    <w:rsid w:val="007A39DE"/>
    <w:rsid w:val="007A6417"/>
    <w:rsid w:val="007A6DC2"/>
    <w:rsid w:val="007C4747"/>
    <w:rsid w:val="007C6F81"/>
    <w:rsid w:val="007D4086"/>
    <w:rsid w:val="007E165D"/>
    <w:rsid w:val="007E49ED"/>
    <w:rsid w:val="007F10DF"/>
    <w:rsid w:val="007F35A1"/>
    <w:rsid w:val="007F6F32"/>
    <w:rsid w:val="00804594"/>
    <w:rsid w:val="00807E62"/>
    <w:rsid w:val="00833E54"/>
    <w:rsid w:val="00836B5A"/>
    <w:rsid w:val="0084184C"/>
    <w:rsid w:val="008529FE"/>
    <w:rsid w:val="00871F7F"/>
    <w:rsid w:val="00875E02"/>
    <w:rsid w:val="008819E2"/>
    <w:rsid w:val="00884046"/>
    <w:rsid w:val="0089545A"/>
    <w:rsid w:val="008B16A3"/>
    <w:rsid w:val="008C1965"/>
    <w:rsid w:val="008E0432"/>
    <w:rsid w:val="008F1678"/>
    <w:rsid w:val="008F1680"/>
    <w:rsid w:val="00967BA0"/>
    <w:rsid w:val="009716D0"/>
    <w:rsid w:val="00976B43"/>
    <w:rsid w:val="00983A0E"/>
    <w:rsid w:val="00983F28"/>
    <w:rsid w:val="00994D52"/>
    <w:rsid w:val="009B3645"/>
    <w:rsid w:val="009C72EF"/>
    <w:rsid w:val="009D508C"/>
    <w:rsid w:val="009D50A7"/>
    <w:rsid w:val="009E5CF3"/>
    <w:rsid w:val="009E5EF9"/>
    <w:rsid w:val="00A03CC8"/>
    <w:rsid w:val="00A077D6"/>
    <w:rsid w:val="00A2156F"/>
    <w:rsid w:val="00A23520"/>
    <w:rsid w:val="00A42D02"/>
    <w:rsid w:val="00A46D5C"/>
    <w:rsid w:val="00A56FAF"/>
    <w:rsid w:val="00A72A78"/>
    <w:rsid w:val="00A72D54"/>
    <w:rsid w:val="00A84624"/>
    <w:rsid w:val="00A85070"/>
    <w:rsid w:val="00A95CC2"/>
    <w:rsid w:val="00A9602B"/>
    <w:rsid w:val="00AA1720"/>
    <w:rsid w:val="00AA53CD"/>
    <w:rsid w:val="00AE7BCD"/>
    <w:rsid w:val="00AF7D19"/>
    <w:rsid w:val="00B00A7F"/>
    <w:rsid w:val="00B01EFC"/>
    <w:rsid w:val="00B20980"/>
    <w:rsid w:val="00B211FE"/>
    <w:rsid w:val="00B215A2"/>
    <w:rsid w:val="00B431BB"/>
    <w:rsid w:val="00B536F1"/>
    <w:rsid w:val="00B73B2C"/>
    <w:rsid w:val="00B92DFD"/>
    <w:rsid w:val="00B94588"/>
    <w:rsid w:val="00BA62EA"/>
    <w:rsid w:val="00BA6AF1"/>
    <w:rsid w:val="00BC07C6"/>
    <w:rsid w:val="00BC37D0"/>
    <w:rsid w:val="00BF0C88"/>
    <w:rsid w:val="00BF3AA5"/>
    <w:rsid w:val="00BF5660"/>
    <w:rsid w:val="00C02BAF"/>
    <w:rsid w:val="00C07582"/>
    <w:rsid w:val="00C34F84"/>
    <w:rsid w:val="00C366F3"/>
    <w:rsid w:val="00C37EB4"/>
    <w:rsid w:val="00C47EDA"/>
    <w:rsid w:val="00C534BC"/>
    <w:rsid w:val="00C54367"/>
    <w:rsid w:val="00C7446F"/>
    <w:rsid w:val="00C86824"/>
    <w:rsid w:val="00C97ACE"/>
    <w:rsid w:val="00CA1F28"/>
    <w:rsid w:val="00CA44E6"/>
    <w:rsid w:val="00CA72CC"/>
    <w:rsid w:val="00CC304E"/>
    <w:rsid w:val="00CE383E"/>
    <w:rsid w:val="00CF3679"/>
    <w:rsid w:val="00CF6554"/>
    <w:rsid w:val="00D03A33"/>
    <w:rsid w:val="00D23CEA"/>
    <w:rsid w:val="00D30730"/>
    <w:rsid w:val="00D419FD"/>
    <w:rsid w:val="00D549E0"/>
    <w:rsid w:val="00D61B22"/>
    <w:rsid w:val="00D72300"/>
    <w:rsid w:val="00D726CF"/>
    <w:rsid w:val="00D949ED"/>
    <w:rsid w:val="00D95FA3"/>
    <w:rsid w:val="00DA6310"/>
    <w:rsid w:val="00DB2105"/>
    <w:rsid w:val="00DE187B"/>
    <w:rsid w:val="00E31691"/>
    <w:rsid w:val="00E350F9"/>
    <w:rsid w:val="00E35C23"/>
    <w:rsid w:val="00E37C6C"/>
    <w:rsid w:val="00E42FF7"/>
    <w:rsid w:val="00E44B26"/>
    <w:rsid w:val="00E6192E"/>
    <w:rsid w:val="00E71301"/>
    <w:rsid w:val="00E81CFC"/>
    <w:rsid w:val="00E87D3B"/>
    <w:rsid w:val="00EA0E84"/>
    <w:rsid w:val="00EB6249"/>
    <w:rsid w:val="00ED19B3"/>
    <w:rsid w:val="00ED3210"/>
    <w:rsid w:val="00ED76A3"/>
    <w:rsid w:val="00EE66FA"/>
    <w:rsid w:val="00F071BC"/>
    <w:rsid w:val="00F14354"/>
    <w:rsid w:val="00F35CCD"/>
    <w:rsid w:val="00F51BA9"/>
    <w:rsid w:val="00F56721"/>
    <w:rsid w:val="00F651E1"/>
    <w:rsid w:val="00F657E3"/>
    <w:rsid w:val="00F67F71"/>
    <w:rsid w:val="00F7087B"/>
    <w:rsid w:val="00F92120"/>
    <w:rsid w:val="00FA2543"/>
    <w:rsid w:val="00FB0E7F"/>
    <w:rsid w:val="00FB2AB5"/>
    <w:rsid w:val="00FB58C2"/>
    <w:rsid w:val="00FB7338"/>
    <w:rsid w:val="00FE2AF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949ED"/>
    <w:pPr>
      <w:spacing w:after="0" w:line="240" w:lineRule="auto"/>
    </w:pPr>
    <w:rPr>
      <w:sz w:val="24"/>
      <w:szCs w:val="24"/>
    </w:rPr>
  </w:style>
  <w:style w:type="character" w:customStyle="1" w:styleId="TextonotapieCar">
    <w:name w:val="Texto nota pie Car"/>
    <w:basedOn w:val="Fuentedeprrafopredeter"/>
    <w:link w:val="Textonotapie"/>
    <w:uiPriority w:val="99"/>
    <w:rsid w:val="00D949ED"/>
    <w:rPr>
      <w:sz w:val="24"/>
      <w:szCs w:val="24"/>
    </w:rPr>
  </w:style>
  <w:style w:type="character" w:styleId="Refdenotaalpie">
    <w:name w:val="footnote reference"/>
    <w:basedOn w:val="Fuentedeprrafopredeter"/>
    <w:uiPriority w:val="99"/>
    <w:unhideWhenUsed/>
    <w:rsid w:val="00D949ED"/>
    <w:rPr>
      <w:vertAlign w:val="superscript"/>
    </w:rPr>
  </w:style>
  <w:style w:type="paragraph" w:styleId="Encabezado">
    <w:name w:val="header"/>
    <w:basedOn w:val="Normal"/>
    <w:link w:val="EncabezadoCar"/>
    <w:uiPriority w:val="99"/>
    <w:semiHidden/>
    <w:unhideWhenUsed/>
    <w:rsid w:val="008E04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E0432"/>
  </w:style>
  <w:style w:type="paragraph" w:styleId="Piedepgina">
    <w:name w:val="footer"/>
    <w:basedOn w:val="Normal"/>
    <w:link w:val="PiedepginaCar"/>
    <w:uiPriority w:val="99"/>
    <w:unhideWhenUsed/>
    <w:rsid w:val="008E04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432"/>
  </w:style>
  <w:style w:type="paragraph" w:styleId="Textodeglobo">
    <w:name w:val="Balloon Text"/>
    <w:basedOn w:val="Normal"/>
    <w:link w:val="TextodegloboCar"/>
    <w:uiPriority w:val="99"/>
    <w:semiHidden/>
    <w:unhideWhenUsed/>
    <w:rsid w:val="00AF7D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7D19"/>
    <w:rPr>
      <w:rFonts w:ascii="Tahoma" w:hAnsi="Tahoma" w:cs="Tahoma"/>
      <w:sz w:val="16"/>
      <w:szCs w:val="16"/>
    </w:rPr>
  </w:style>
  <w:style w:type="paragraph" w:styleId="Prrafodelista">
    <w:name w:val="List Paragraph"/>
    <w:basedOn w:val="Normal"/>
    <w:uiPriority w:val="34"/>
    <w:qFormat/>
    <w:rsid w:val="00761595"/>
    <w:pPr>
      <w:ind w:left="720"/>
      <w:contextualSpacing/>
    </w:pPr>
  </w:style>
  <w:style w:type="character" w:styleId="Hipervnculo">
    <w:name w:val="Hyperlink"/>
    <w:basedOn w:val="Fuentedeprrafopredeter"/>
    <w:uiPriority w:val="99"/>
    <w:unhideWhenUsed/>
    <w:rsid w:val="008529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3556489">
      <w:bodyDiv w:val="1"/>
      <w:marLeft w:val="0"/>
      <w:marRight w:val="0"/>
      <w:marTop w:val="0"/>
      <w:marBottom w:val="0"/>
      <w:divBdr>
        <w:top w:val="none" w:sz="0" w:space="0" w:color="auto"/>
        <w:left w:val="none" w:sz="0" w:space="0" w:color="auto"/>
        <w:bottom w:val="none" w:sz="0" w:space="0" w:color="auto"/>
        <w:right w:val="none" w:sz="0" w:space="0" w:color="auto"/>
      </w:divBdr>
    </w:div>
    <w:div w:id="714088513">
      <w:bodyDiv w:val="1"/>
      <w:marLeft w:val="0"/>
      <w:marRight w:val="0"/>
      <w:marTop w:val="0"/>
      <w:marBottom w:val="0"/>
      <w:divBdr>
        <w:top w:val="none" w:sz="0" w:space="0" w:color="auto"/>
        <w:left w:val="none" w:sz="0" w:space="0" w:color="auto"/>
        <w:bottom w:val="none" w:sz="0" w:space="0" w:color="auto"/>
        <w:right w:val="none" w:sz="0" w:space="0" w:color="auto"/>
      </w:divBdr>
    </w:div>
    <w:div w:id="817309336">
      <w:bodyDiv w:val="1"/>
      <w:marLeft w:val="0"/>
      <w:marRight w:val="0"/>
      <w:marTop w:val="0"/>
      <w:marBottom w:val="0"/>
      <w:divBdr>
        <w:top w:val="none" w:sz="0" w:space="0" w:color="auto"/>
        <w:left w:val="none" w:sz="0" w:space="0" w:color="auto"/>
        <w:bottom w:val="none" w:sz="0" w:space="0" w:color="auto"/>
        <w:right w:val="none" w:sz="0" w:space="0" w:color="auto"/>
      </w:divBdr>
    </w:div>
    <w:div w:id="1075935535">
      <w:bodyDiv w:val="1"/>
      <w:marLeft w:val="0"/>
      <w:marRight w:val="0"/>
      <w:marTop w:val="0"/>
      <w:marBottom w:val="0"/>
      <w:divBdr>
        <w:top w:val="none" w:sz="0" w:space="0" w:color="auto"/>
        <w:left w:val="none" w:sz="0" w:space="0" w:color="auto"/>
        <w:bottom w:val="none" w:sz="0" w:space="0" w:color="auto"/>
        <w:right w:val="none" w:sz="0" w:space="0" w:color="auto"/>
      </w:divBdr>
    </w:div>
    <w:div w:id="1225220175">
      <w:bodyDiv w:val="1"/>
      <w:marLeft w:val="0"/>
      <w:marRight w:val="0"/>
      <w:marTop w:val="0"/>
      <w:marBottom w:val="0"/>
      <w:divBdr>
        <w:top w:val="none" w:sz="0" w:space="0" w:color="auto"/>
        <w:left w:val="none" w:sz="0" w:space="0" w:color="auto"/>
        <w:bottom w:val="none" w:sz="0" w:space="0" w:color="auto"/>
        <w:right w:val="none" w:sz="0" w:space="0" w:color="auto"/>
      </w:divBdr>
    </w:div>
    <w:div w:id="1274704909">
      <w:bodyDiv w:val="1"/>
      <w:marLeft w:val="0"/>
      <w:marRight w:val="0"/>
      <w:marTop w:val="0"/>
      <w:marBottom w:val="0"/>
      <w:divBdr>
        <w:top w:val="none" w:sz="0" w:space="0" w:color="auto"/>
        <w:left w:val="none" w:sz="0" w:space="0" w:color="auto"/>
        <w:bottom w:val="none" w:sz="0" w:space="0" w:color="auto"/>
        <w:right w:val="none" w:sz="0" w:space="0" w:color="auto"/>
      </w:divBdr>
    </w:div>
    <w:div w:id="1840658419">
      <w:bodyDiv w:val="1"/>
      <w:marLeft w:val="0"/>
      <w:marRight w:val="0"/>
      <w:marTop w:val="0"/>
      <w:marBottom w:val="0"/>
      <w:divBdr>
        <w:top w:val="none" w:sz="0" w:space="0" w:color="auto"/>
        <w:left w:val="none" w:sz="0" w:space="0" w:color="auto"/>
        <w:bottom w:val="none" w:sz="0" w:space="0" w:color="auto"/>
        <w:right w:val="none" w:sz="0" w:space="0" w:color="auto"/>
      </w:divBdr>
    </w:div>
    <w:div w:id="185934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pypp.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895B-F02C-4DAD-8963-75A3FF87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3088</Words>
  <Characters>16987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AteCdn-177</dc:creator>
  <cp:lastModifiedBy>FlavioG</cp:lastModifiedBy>
  <cp:revision>2</cp:revision>
  <cp:lastPrinted>2019-10-15T19:18:00Z</cp:lastPrinted>
  <dcterms:created xsi:type="dcterms:W3CDTF">2019-10-16T22:22:00Z</dcterms:created>
  <dcterms:modified xsi:type="dcterms:W3CDTF">2019-10-16T22:22:00Z</dcterms:modified>
</cp:coreProperties>
</file>