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CEB" w:rsidRDefault="00314CEB" w:rsidP="00314CEB">
      <w:pPr>
        <w:jc w:val="right"/>
        <w:rPr>
          <w:sz w:val="24"/>
          <w:szCs w:val="24"/>
          <w:u w:val="single"/>
        </w:rPr>
      </w:pPr>
      <w:r>
        <w:rPr>
          <w:noProof/>
          <w:sz w:val="28"/>
          <w:szCs w:val="28"/>
          <w:u w:val="single"/>
          <w:lang w:val="es-AR" w:eastAsia="es-AR"/>
        </w:rPr>
        <w:drawing>
          <wp:inline distT="0" distB="0" distL="0" distR="0">
            <wp:extent cx="5610225" cy="2590800"/>
            <wp:effectExtent l="19050" t="0" r="9525" b="0"/>
            <wp:docPr id="6" name="Imagen 1" descr="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pic:cNvPicPr>
                      <a:picLocks noChangeAspect="1" noChangeArrowheads="1"/>
                    </pic:cNvPicPr>
                  </pic:nvPicPr>
                  <pic:blipFill>
                    <a:blip r:embed="rId7" cstate="print"/>
                    <a:srcRect/>
                    <a:stretch>
                      <a:fillRect/>
                    </a:stretch>
                  </pic:blipFill>
                  <pic:spPr bwMode="auto">
                    <a:xfrm>
                      <a:off x="0" y="0"/>
                      <a:ext cx="5610225" cy="2590800"/>
                    </a:xfrm>
                    <a:prstGeom prst="rect">
                      <a:avLst/>
                    </a:prstGeom>
                    <a:noFill/>
                    <a:ln w="9525">
                      <a:noFill/>
                      <a:miter lim="800000"/>
                      <a:headEnd/>
                      <a:tailEnd/>
                    </a:ln>
                  </pic:spPr>
                </pic:pic>
              </a:graphicData>
            </a:graphic>
          </wp:inline>
        </w:drawing>
      </w:r>
    </w:p>
    <w:p w:rsidR="00314CEB" w:rsidRDefault="00314CEB" w:rsidP="00314CEB">
      <w:pPr>
        <w:jc w:val="right"/>
        <w:rPr>
          <w:sz w:val="24"/>
          <w:szCs w:val="24"/>
          <w:u w:val="single"/>
        </w:rPr>
      </w:pPr>
    </w:p>
    <w:p w:rsidR="00314CEB" w:rsidRPr="00B81C74" w:rsidRDefault="00314CEB" w:rsidP="00314CEB">
      <w:pPr>
        <w:jc w:val="right"/>
        <w:rPr>
          <w:sz w:val="24"/>
          <w:szCs w:val="24"/>
        </w:rPr>
      </w:pPr>
      <w:r>
        <w:rPr>
          <w:sz w:val="24"/>
          <w:szCs w:val="24"/>
        </w:rPr>
        <w:t>AUTORES</w:t>
      </w:r>
    </w:p>
    <w:p w:rsidR="00314CEB" w:rsidRDefault="00314CEB" w:rsidP="00314CEB">
      <w:pPr>
        <w:jc w:val="right"/>
        <w:rPr>
          <w:sz w:val="24"/>
          <w:szCs w:val="24"/>
        </w:rPr>
      </w:pPr>
      <w:r w:rsidRPr="00B81C74">
        <w:rPr>
          <w:sz w:val="24"/>
          <w:szCs w:val="24"/>
        </w:rPr>
        <w:t>ANA RAMERI</w:t>
      </w:r>
    </w:p>
    <w:p w:rsidR="00314CEB" w:rsidRPr="00B81C74" w:rsidRDefault="00314CEB" w:rsidP="00314CEB">
      <w:pPr>
        <w:jc w:val="right"/>
        <w:rPr>
          <w:sz w:val="24"/>
          <w:szCs w:val="24"/>
        </w:rPr>
      </w:pPr>
      <w:r>
        <w:rPr>
          <w:sz w:val="24"/>
          <w:szCs w:val="24"/>
        </w:rPr>
        <w:t>CLAUDIO LOZANO</w:t>
      </w:r>
    </w:p>
    <w:p w:rsidR="00314CEB" w:rsidRPr="00987950" w:rsidRDefault="00314CEB" w:rsidP="00314CEB">
      <w:pPr>
        <w:jc w:val="right"/>
        <w:rPr>
          <w:sz w:val="28"/>
          <w:szCs w:val="28"/>
        </w:rPr>
      </w:pPr>
    </w:p>
    <w:p w:rsidR="00314CEB" w:rsidRDefault="00314CEB" w:rsidP="00314CEB">
      <w:pPr>
        <w:pBdr>
          <w:top w:val="single" w:sz="4" w:space="1" w:color="auto"/>
          <w:left w:val="single" w:sz="4" w:space="4" w:color="auto"/>
          <w:bottom w:val="single" w:sz="4" w:space="1" w:color="auto"/>
          <w:right w:val="single" w:sz="4" w:space="4" w:color="auto"/>
        </w:pBdr>
        <w:jc w:val="center"/>
        <w:rPr>
          <w:sz w:val="28"/>
          <w:szCs w:val="28"/>
          <w:u w:val="single"/>
        </w:rPr>
      </w:pPr>
    </w:p>
    <w:p w:rsidR="00314CEB" w:rsidRPr="00314CEB" w:rsidRDefault="00314CEB" w:rsidP="00314CEB">
      <w:pPr>
        <w:pBdr>
          <w:top w:val="single" w:sz="4" w:space="1" w:color="auto"/>
          <w:left w:val="single" w:sz="4" w:space="4" w:color="auto"/>
          <w:bottom w:val="single" w:sz="4" w:space="1" w:color="auto"/>
          <w:right w:val="single" w:sz="4" w:space="4" w:color="auto"/>
        </w:pBdr>
        <w:jc w:val="center"/>
        <w:rPr>
          <w:rFonts w:ascii="Helvetica" w:hAnsi="Helvetica" w:cs="Helvetica"/>
          <w:b/>
          <w:color w:val="222222"/>
          <w:sz w:val="24"/>
          <w:szCs w:val="24"/>
          <w:shd w:val="clear" w:color="auto" w:fill="FFFFFF"/>
        </w:rPr>
      </w:pPr>
      <w:r w:rsidRPr="00314CEB">
        <w:rPr>
          <w:rFonts w:ascii="Helvetica" w:hAnsi="Helvetica" w:cs="Helvetica"/>
          <w:b/>
          <w:color w:val="222222"/>
          <w:sz w:val="24"/>
          <w:szCs w:val="24"/>
          <w:shd w:val="clear" w:color="auto" w:fill="FFFFFF"/>
        </w:rPr>
        <w:t>RECUPERANDO LA POLÍTICA DE INGRESOS</w:t>
      </w:r>
    </w:p>
    <w:p w:rsidR="00314CEB" w:rsidRDefault="00314CEB" w:rsidP="00314CEB">
      <w:pPr>
        <w:pBdr>
          <w:top w:val="single" w:sz="4" w:space="1" w:color="auto"/>
          <w:left w:val="single" w:sz="4" w:space="4" w:color="auto"/>
          <w:bottom w:val="single" w:sz="4" w:space="1" w:color="auto"/>
          <w:right w:val="single" w:sz="4" w:space="4" w:color="auto"/>
        </w:pBdr>
        <w:jc w:val="center"/>
        <w:rPr>
          <w:sz w:val="28"/>
          <w:szCs w:val="28"/>
          <w:u w:val="single"/>
        </w:rPr>
      </w:pPr>
      <w:r>
        <w:rPr>
          <w:rFonts w:ascii="Helvetica" w:hAnsi="Helvetica" w:cs="Helvetica"/>
          <w:color w:val="222222"/>
          <w:sz w:val="20"/>
          <w:szCs w:val="20"/>
          <w:shd w:val="clear" w:color="auto" w:fill="FFFFFF"/>
        </w:rPr>
        <w:t>SOBRE EL AUMENTO DE SUMA FIJA AL SECTOR PRIVADO</w:t>
      </w:r>
    </w:p>
    <w:p w:rsidR="00314CEB" w:rsidRDefault="00314CEB" w:rsidP="00314CEB">
      <w:pPr>
        <w:pBdr>
          <w:top w:val="single" w:sz="4" w:space="1" w:color="auto"/>
          <w:left w:val="single" w:sz="4" w:space="4" w:color="auto"/>
          <w:bottom w:val="single" w:sz="4" w:space="1" w:color="auto"/>
          <w:right w:val="single" w:sz="4" w:space="4" w:color="auto"/>
        </w:pBdr>
        <w:jc w:val="center"/>
        <w:rPr>
          <w:sz w:val="28"/>
          <w:szCs w:val="28"/>
          <w:u w:val="single"/>
        </w:rPr>
      </w:pPr>
    </w:p>
    <w:p w:rsidR="00314CEB" w:rsidRDefault="00314CEB" w:rsidP="00314CEB">
      <w:pPr>
        <w:jc w:val="center"/>
        <w:rPr>
          <w:sz w:val="28"/>
          <w:szCs w:val="28"/>
          <w:u w:val="single"/>
        </w:rPr>
      </w:pPr>
    </w:p>
    <w:p w:rsidR="00314CEB" w:rsidRDefault="00314CEB" w:rsidP="00314CEB">
      <w:pPr>
        <w:jc w:val="center"/>
        <w:rPr>
          <w:sz w:val="28"/>
          <w:szCs w:val="28"/>
          <w:u w:val="single"/>
        </w:rPr>
      </w:pPr>
    </w:p>
    <w:p w:rsidR="00314CEB" w:rsidRDefault="00314CEB" w:rsidP="00314CEB">
      <w:pPr>
        <w:jc w:val="center"/>
        <w:rPr>
          <w:sz w:val="28"/>
          <w:szCs w:val="28"/>
          <w:u w:val="single"/>
        </w:rPr>
      </w:pPr>
    </w:p>
    <w:p w:rsidR="00314CEB" w:rsidRDefault="00314CEB" w:rsidP="00314CEB">
      <w:pPr>
        <w:jc w:val="center"/>
        <w:rPr>
          <w:sz w:val="28"/>
          <w:szCs w:val="28"/>
          <w:u w:val="single"/>
        </w:rPr>
      </w:pPr>
    </w:p>
    <w:p w:rsidR="00314CEB" w:rsidRDefault="00314CEB" w:rsidP="00314CEB">
      <w:pPr>
        <w:jc w:val="center"/>
        <w:rPr>
          <w:sz w:val="28"/>
          <w:szCs w:val="28"/>
          <w:u w:val="single"/>
        </w:rPr>
      </w:pPr>
    </w:p>
    <w:p w:rsidR="00314CEB" w:rsidRDefault="00314CEB" w:rsidP="00314CEB">
      <w:pPr>
        <w:jc w:val="center"/>
        <w:rPr>
          <w:sz w:val="28"/>
          <w:szCs w:val="28"/>
          <w:u w:val="single"/>
        </w:rPr>
      </w:pPr>
    </w:p>
    <w:p w:rsidR="00314CEB" w:rsidRPr="00987950" w:rsidRDefault="00314CEB" w:rsidP="00314CEB">
      <w:pPr>
        <w:jc w:val="center"/>
        <w:rPr>
          <w:sz w:val="28"/>
          <w:szCs w:val="28"/>
          <w:u w:val="single"/>
        </w:rPr>
      </w:pPr>
      <w:r w:rsidRPr="00987950">
        <w:rPr>
          <w:sz w:val="28"/>
          <w:szCs w:val="28"/>
          <w:u w:val="single"/>
        </w:rPr>
        <w:t>COORDINACIÓN</w:t>
      </w:r>
    </w:p>
    <w:p w:rsidR="00314CEB" w:rsidRPr="00987950" w:rsidRDefault="00314CEB" w:rsidP="00314CEB">
      <w:pPr>
        <w:jc w:val="center"/>
        <w:rPr>
          <w:sz w:val="28"/>
          <w:szCs w:val="28"/>
        </w:rPr>
      </w:pPr>
      <w:r w:rsidRPr="00987950">
        <w:rPr>
          <w:sz w:val="28"/>
          <w:szCs w:val="28"/>
        </w:rPr>
        <w:t>CLAUDIO LOZANO</w:t>
      </w:r>
    </w:p>
    <w:p w:rsidR="00314CEB" w:rsidRDefault="00314CEB" w:rsidP="00CC032F">
      <w:pPr>
        <w:spacing w:after="0" w:line="240" w:lineRule="auto"/>
        <w:ind w:left="849" w:right="-1" w:firstLine="567"/>
        <w:contextualSpacing/>
        <w:mirrorIndents/>
        <w:jc w:val="both"/>
        <w:rPr>
          <w:b/>
        </w:rPr>
      </w:pPr>
    </w:p>
    <w:p w:rsidR="00314CEB" w:rsidRDefault="00314CEB" w:rsidP="00CC032F">
      <w:pPr>
        <w:spacing w:after="0" w:line="240" w:lineRule="auto"/>
        <w:ind w:left="849" w:right="-1" w:firstLine="567"/>
        <w:contextualSpacing/>
        <w:mirrorIndents/>
        <w:jc w:val="both"/>
        <w:rPr>
          <w:b/>
        </w:rPr>
      </w:pPr>
    </w:p>
    <w:p w:rsidR="00314CEB" w:rsidRDefault="00314CEB" w:rsidP="00CC032F">
      <w:pPr>
        <w:spacing w:after="0" w:line="240" w:lineRule="auto"/>
        <w:ind w:left="849" w:right="-1" w:firstLine="567"/>
        <w:contextualSpacing/>
        <w:mirrorIndents/>
        <w:jc w:val="both"/>
        <w:rPr>
          <w:b/>
        </w:rPr>
      </w:pPr>
    </w:p>
    <w:p w:rsidR="00B14754" w:rsidRDefault="00B14754" w:rsidP="00CC032F">
      <w:pPr>
        <w:spacing w:after="0" w:line="240" w:lineRule="auto"/>
        <w:ind w:left="849" w:right="-1" w:firstLine="567"/>
        <w:contextualSpacing/>
        <w:mirrorIndents/>
        <w:jc w:val="both"/>
        <w:rPr>
          <w:b/>
        </w:rPr>
      </w:pPr>
      <w:r>
        <w:rPr>
          <w:b/>
        </w:rPr>
        <w:t>Primeras reflexiones sobre los aumentos salariales de suma fija</w:t>
      </w:r>
    </w:p>
    <w:p w:rsidR="00B14754" w:rsidRDefault="00B14754" w:rsidP="00B14754">
      <w:pPr>
        <w:spacing w:after="0" w:line="240" w:lineRule="auto"/>
        <w:ind w:left="-851" w:right="-1"/>
        <w:contextualSpacing/>
        <w:mirrorIndents/>
        <w:jc w:val="both"/>
        <w:rPr>
          <w:b/>
        </w:rPr>
      </w:pPr>
    </w:p>
    <w:p w:rsidR="00B14754" w:rsidRDefault="00B14754" w:rsidP="00B14754">
      <w:pPr>
        <w:spacing w:after="0" w:line="240" w:lineRule="auto"/>
        <w:ind w:left="-851" w:right="-1"/>
        <w:contextualSpacing/>
        <w:mirrorIndents/>
        <w:jc w:val="both"/>
        <w:rPr>
          <w:b/>
        </w:rPr>
      </w:pPr>
    </w:p>
    <w:p w:rsidR="002460C6" w:rsidRDefault="004C1BD7" w:rsidP="001A1BA4">
      <w:pPr>
        <w:spacing w:after="0" w:line="240" w:lineRule="auto"/>
        <w:ind w:right="-1" w:firstLine="708"/>
        <w:mirrorIndents/>
        <w:jc w:val="both"/>
        <w:rPr>
          <w:bCs/>
        </w:rPr>
      </w:pPr>
      <w:r>
        <w:rPr>
          <w:bCs/>
        </w:rPr>
        <w:t>Se estableció recientemente, como parte de un</w:t>
      </w:r>
      <w:r w:rsidR="00CF0A5B">
        <w:rPr>
          <w:bCs/>
        </w:rPr>
        <w:t>a batería de políticas de</w:t>
      </w:r>
      <w:r w:rsidR="00A24021">
        <w:rPr>
          <w:bCs/>
        </w:rPr>
        <w:t xml:space="preserve"> transferencia de ingresos a la población</w:t>
      </w:r>
      <w:r w:rsidR="00CF0A5B">
        <w:rPr>
          <w:bCs/>
        </w:rPr>
        <w:t xml:space="preserve">, un aumento salarial de </w:t>
      </w:r>
      <w:r w:rsidR="00B14754" w:rsidRPr="00ED6E20">
        <w:rPr>
          <w:bCs/>
        </w:rPr>
        <w:t>suma</w:t>
      </w:r>
      <w:r w:rsidR="00B14754">
        <w:rPr>
          <w:bCs/>
        </w:rPr>
        <w:t xml:space="preserve"> fija</w:t>
      </w:r>
      <w:r w:rsidR="00CF0A5B">
        <w:rPr>
          <w:bCs/>
        </w:rPr>
        <w:t xml:space="preserve"> de carácter</w:t>
      </w:r>
      <w:r w:rsidR="00B14754" w:rsidRPr="00ED6E20">
        <w:rPr>
          <w:bCs/>
        </w:rPr>
        <w:t xml:space="preserve"> remunerativ</w:t>
      </w:r>
      <w:r w:rsidR="00CF0A5B">
        <w:rPr>
          <w:bCs/>
        </w:rPr>
        <w:t xml:space="preserve">o, </w:t>
      </w:r>
      <w:r w:rsidR="00B14754" w:rsidRPr="00ED6E20">
        <w:rPr>
          <w:bCs/>
        </w:rPr>
        <w:t xml:space="preserve">que </w:t>
      </w:r>
      <w:r w:rsidR="00CF0A5B">
        <w:rPr>
          <w:bCs/>
        </w:rPr>
        <w:t>alcanzará</w:t>
      </w:r>
      <w:r w:rsidR="00B14754" w:rsidRPr="00ED6E20">
        <w:rPr>
          <w:bCs/>
        </w:rPr>
        <w:t xml:space="preserve"> en febrero </w:t>
      </w:r>
      <w:r w:rsidR="00A24021">
        <w:rPr>
          <w:bCs/>
        </w:rPr>
        <w:t>la suma</w:t>
      </w:r>
      <w:r w:rsidR="00B14754" w:rsidRPr="00ED6E20">
        <w:rPr>
          <w:bCs/>
        </w:rPr>
        <w:t xml:space="preserve"> de $4.000 para los trabajadores que están formalizados en el sector privado</w:t>
      </w:r>
      <w:r w:rsidR="00826D57">
        <w:rPr>
          <w:bCs/>
        </w:rPr>
        <w:t xml:space="preserve">. </w:t>
      </w:r>
      <w:r w:rsidR="00CF0A5B">
        <w:rPr>
          <w:bCs/>
        </w:rPr>
        <w:t>Si consideramos</w:t>
      </w:r>
      <w:r w:rsidR="00826D57">
        <w:rPr>
          <w:bCs/>
        </w:rPr>
        <w:t xml:space="preserve"> la última referencia salarial publicada por fuente oficiales</w:t>
      </w:r>
      <w:r w:rsidR="003C2C28">
        <w:rPr>
          <w:bCs/>
        </w:rPr>
        <w:t>, se verifica que al mes</w:t>
      </w:r>
      <w:r w:rsidR="00202D10">
        <w:rPr>
          <w:bCs/>
        </w:rPr>
        <w:t xml:space="preserve"> de septiembre del 2019 </w:t>
      </w:r>
      <w:r w:rsidR="003C2C28">
        <w:rPr>
          <w:bCs/>
        </w:rPr>
        <w:t>la media salarial era de</w:t>
      </w:r>
      <w:r w:rsidR="00125D7B">
        <w:rPr>
          <w:bCs/>
        </w:rPr>
        <w:t xml:space="preserve"> $47</w:t>
      </w:r>
      <w:r w:rsidR="00202D10">
        <w:rPr>
          <w:bCs/>
        </w:rPr>
        <w:t>mil</w:t>
      </w:r>
      <w:r w:rsidR="00125D7B">
        <w:rPr>
          <w:bCs/>
        </w:rPr>
        <w:t xml:space="preserve"> </w:t>
      </w:r>
      <w:r w:rsidR="003C2C28">
        <w:rPr>
          <w:bCs/>
        </w:rPr>
        <w:t xml:space="preserve">con lo cual </w:t>
      </w:r>
      <w:r w:rsidR="00B14754" w:rsidRPr="00ED6E20">
        <w:rPr>
          <w:bCs/>
        </w:rPr>
        <w:t>el</w:t>
      </w:r>
      <w:r w:rsidR="003C2C28">
        <w:rPr>
          <w:bCs/>
        </w:rPr>
        <w:t xml:space="preserve"> aumento salarial estaría en el orden del</w:t>
      </w:r>
      <w:r w:rsidR="00B14754" w:rsidRPr="00ED6E20">
        <w:rPr>
          <w:bCs/>
        </w:rPr>
        <w:t xml:space="preserve"> 8,4%</w:t>
      </w:r>
      <w:r w:rsidR="003C2C28">
        <w:rPr>
          <w:bCs/>
        </w:rPr>
        <w:t xml:space="preserve">. </w:t>
      </w:r>
      <w:r w:rsidR="009F6862">
        <w:rPr>
          <w:bCs/>
        </w:rPr>
        <w:t xml:space="preserve">La progresividad de lo dispuesto se expresa en </w:t>
      </w:r>
      <w:r w:rsidR="001959B6">
        <w:rPr>
          <w:bCs/>
        </w:rPr>
        <w:t>la mayor reparación que supone para los tramos salariales más bajo</w:t>
      </w:r>
      <w:r w:rsidR="00125D7B">
        <w:rPr>
          <w:bCs/>
        </w:rPr>
        <w:t>s</w:t>
      </w:r>
      <w:r w:rsidR="001959B6">
        <w:rPr>
          <w:bCs/>
        </w:rPr>
        <w:t>. Obsérvese del cuadro N º 3 que para quienes perciben valores cercanos al salario mínimo el aumento será de 24,8% y para los rangos salariales más elevado</w:t>
      </w:r>
      <w:r w:rsidR="00125D7B">
        <w:rPr>
          <w:bCs/>
        </w:rPr>
        <w:t>s</w:t>
      </w:r>
      <w:r w:rsidR="001959B6">
        <w:rPr>
          <w:bCs/>
        </w:rPr>
        <w:t xml:space="preserve"> el impacto </w:t>
      </w:r>
      <w:r w:rsidR="004327DC">
        <w:rPr>
          <w:bCs/>
        </w:rPr>
        <w:t>será</w:t>
      </w:r>
      <w:r w:rsidR="001959B6">
        <w:rPr>
          <w:bCs/>
        </w:rPr>
        <w:t xml:space="preserve"> sensiblemente inferior, del 2,4%.</w:t>
      </w:r>
      <w:r w:rsidR="004327DC">
        <w:rPr>
          <w:bCs/>
        </w:rPr>
        <w:t xml:space="preserve"> De la estratificación salarial vigente surge entonces que</w:t>
      </w:r>
      <w:r w:rsidR="00125D7B">
        <w:rPr>
          <w:bCs/>
        </w:rPr>
        <w:t xml:space="preserve"> </w:t>
      </w:r>
      <w:r w:rsidR="004327DC">
        <w:rPr>
          <w:bCs/>
        </w:rPr>
        <w:t>e</w:t>
      </w:r>
      <w:r w:rsidR="001959B6">
        <w:rPr>
          <w:bCs/>
        </w:rPr>
        <w:t>l 60% de los asalariados que ganan por debajo de la media recibirá una pauta de incremento salarial superior al 8,4%.</w:t>
      </w:r>
    </w:p>
    <w:p w:rsidR="002460C6" w:rsidRDefault="002460C6" w:rsidP="001A1BA4">
      <w:pPr>
        <w:spacing w:after="0" w:line="240" w:lineRule="auto"/>
        <w:ind w:right="-1" w:firstLine="708"/>
        <w:mirrorIndents/>
        <w:jc w:val="both"/>
        <w:rPr>
          <w:bCs/>
        </w:rPr>
      </w:pPr>
    </w:p>
    <w:p w:rsidR="00B14754" w:rsidRDefault="00CF38BD" w:rsidP="001A1BA4">
      <w:pPr>
        <w:spacing w:after="0" w:line="240" w:lineRule="auto"/>
        <w:ind w:right="-1" w:firstLine="708"/>
        <w:mirrorIndents/>
        <w:jc w:val="both"/>
        <w:rPr>
          <w:bCs/>
        </w:rPr>
      </w:pPr>
      <w:r>
        <w:rPr>
          <w:bCs/>
        </w:rPr>
        <w:t xml:space="preserve">De todos </w:t>
      </w:r>
      <w:r w:rsidR="001F65AB">
        <w:rPr>
          <w:bCs/>
        </w:rPr>
        <w:t>modos,</w:t>
      </w:r>
      <w:r>
        <w:rPr>
          <w:bCs/>
        </w:rPr>
        <w:t xml:space="preserve"> debe resaltarse que al ser esta suma de</w:t>
      </w:r>
      <w:r w:rsidR="00B14754">
        <w:rPr>
          <w:bCs/>
        </w:rPr>
        <w:t xml:space="preserve"> carácter remunerativo el </w:t>
      </w:r>
      <w:r>
        <w:rPr>
          <w:bCs/>
        </w:rPr>
        <w:t>efecto</w:t>
      </w:r>
      <w:r w:rsidR="00B14754">
        <w:rPr>
          <w:bCs/>
        </w:rPr>
        <w:t xml:space="preserve"> en el bolsillo de los trabajadores será inferior a los $4.000 </w:t>
      </w:r>
      <w:r w:rsidR="001F65AB">
        <w:rPr>
          <w:bCs/>
        </w:rPr>
        <w:t xml:space="preserve">(cerca de los $3.300) </w:t>
      </w:r>
      <w:r w:rsidR="00B14754">
        <w:rPr>
          <w:bCs/>
        </w:rPr>
        <w:t xml:space="preserve">ya que deberán descontarse las cargas sociales. </w:t>
      </w:r>
    </w:p>
    <w:p w:rsidR="00B14754" w:rsidRDefault="00B14754" w:rsidP="00B14754">
      <w:pPr>
        <w:spacing w:after="0" w:line="240" w:lineRule="auto"/>
        <w:ind w:right="-1"/>
        <w:mirrorIndents/>
        <w:jc w:val="both"/>
        <w:rPr>
          <w:bCs/>
        </w:rPr>
      </w:pPr>
    </w:p>
    <w:p w:rsidR="00FD25AD" w:rsidRDefault="00B14754" w:rsidP="00B14754">
      <w:pPr>
        <w:spacing w:after="0" w:line="240" w:lineRule="auto"/>
        <w:ind w:right="-1" w:firstLine="708"/>
        <w:mirrorIndents/>
        <w:jc w:val="both"/>
        <w:rPr>
          <w:bCs/>
        </w:rPr>
      </w:pPr>
      <w:r>
        <w:rPr>
          <w:bCs/>
        </w:rPr>
        <w:t xml:space="preserve">La oportunidad de recomposición que esta medida </w:t>
      </w:r>
      <w:r w:rsidR="001F65AB">
        <w:rPr>
          <w:bCs/>
        </w:rPr>
        <w:t>implica</w:t>
      </w:r>
      <w:r w:rsidR="00FD25AD">
        <w:rPr>
          <w:bCs/>
        </w:rPr>
        <w:t xml:space="preserve"> se inscribe en una estra</w:t>
      </w:r>
      <w:r w:rsidR="00125D7B">
        <w:rPr>
          <w:bCs/>
        </w:rPr>
        <w:t>tegia por revertir un extenso</w:t>
      </w:r>
      <w:r w:rsidR="00FD25AD">
        <w:rPr>
          <w:bCs/>
        </w:rPr>
        <w:t xml:space="preserve"> período de </w:t>
      </w:r>
      <w:r>
        <w:rPr>
          <w:bCs/>
        </w:rPr>
        <w:t>agravamiento</w:t>
      </w:r>
      <w:r w:rsidR="00FD25AD">
        <w:rPr>
          <w:bCs/>
        </w:rPr>
        <w:t xml:space="preserve"> de la condición salarial</w:t>
      </w:r>
      <w:r>
        <w:rPr>
          <w:bCs/>
        </w:rPr>
        <w:t xml:space="preserve">. El ajuste afectó al conjunto de los trabajadores y especialmente al </w:t>
      </w:r>
      <w:r w:rsidRPr="001F65AB">
        <w:rPr>
          <w:bCs/>
        </w:rPr>
        <w:t>segmento asalariado de la</w:t>
      </w:r>
      <w:r>
        <w:rPr>
          <w:bCs/>
        </w:rPr>
        <w:t xml:space="preserve"> economía que tuvo un recorte de casi un cuarto de las retribuciones percibidas. Golpe distributivo que se concentró especialmente en los años pares de la gestión anterior y fundamentalmente en el crítico 2018. Las manifestaciones del </w:t>
      </w:r>
      <w:r w:rsidR="00FD25AD">
        <w:rPr>
          <w:bCs/>
        </w:rPr>
        <w:t>recorte</w:t>
      </w:r>
      <w:r>
        <w:rPr>
          <w:bCs/>
        </w:rPr>
        <w:t xml:space="preserve"> fueron disimiles según </w:t>
      </w:r>
      <w:r w:rsidR="006A3CE1">
        <w:rPr>
          <w:bCs/>
        </w:rPr>
        <w:t>los lugares y condiciones</w:t>
      </w:r>
      <w:r>
        <w:rPr>
          <w:bCs/>
        </w:rPr>
        <w:t xml:space="preserve"> de inserción: </w:t>
      </w:r>
      <w:r w:rsidR="008A1939">
        <w:rPr>
          <w:bCs/>
        </w:rPr>
        <w:t>las categorías</w:t>
      </w:r>
      <w:r>
        <w:rPr>
          <w:bCs/>
        </w:rPr>
        <w:t xml:space="preserve"> más afectada</w:t>
      </w:r>
      <w:r w:rsidR="00926618">
        <w:rPr>
          <w:bCs/>
        </w:rPr>
        <w:t>s</w:t>
      </w:r>
      <w:r>
        <w:rPr>
          <w:bCs/>
        </w:rPr>
        <w:t xml:space="preserve"> fueron los asalariados precarios (-33,6%), luego </w:t>
      </w:r>
      <w:r w:rsidR="008A1939">
        <w:rPr>
          <w:bCs/>
        </w:rPr>
        <w:t>los trabajadores</w:t>
      </w:r>
      <w:r>
        <w:rPr>
          <w:bCs/>
        </w:rPr>
        <w:t xml:space="preserve"> del sector público (-19,3%) </w:t>
      </w:r>
      <w:r w:rsidR="005263CE">
        <w:rPr>
          <w:bCs/>
        </w:rPr>
        <w:t>y,</w:t>
      </w:r>
      <w:r>
        <w:rPr>
          <w:bCs/>
        </w:rPr>
        <w:t xml:space="preserve"> por último, los registrados en el sector privado (-16,4%). </w:t>
      </w:r>
    </w:p>
    <w:p w:rsidR="00FD25AD" w:rsidRDefault="00FD25AD" w:rsidP="00B14754">
      <w:pPr>
        <w:spacing w:after="0" w:line="240" w:lineRule="auto"/>
        <w:ind w:right="-1" w:firstLine="708"/>
        <w:mirrorIndents/>
        <w:jc w:val="both"/>
        <w:rPr>
          <w:bCs/>
        </w:rPr>
      </w:pPr>
    </w:p>
    <w:p w:rsidR="00B14754" w:rsidRDefault="00FD25AD" w:rsidP="00B14754">
      <w:pPr>
        <w:spacing w:after="0" w:line="240" w:lineRule="auto"/>
        <w:ind w:right="-1" w:firstLine="708"/>
        <w:mirrorIndents/>
        <w:jc w:val="both"/>
        <w:rPr>
          <w:bCs/>
        </w:rPr>
      </w:pPr>
      <w:r>
        <w:rPr>
          <w:bCs/>
        </w:rPr>
        <w:t>Si bien el decreto</w:t>
      </w:r>
      <w:r w:rsidR="00125D7B">
        <w:rPr>
          <w:bCs/>
        </w:rPr>
        <w:t xml:space="preserve"> </w:t>
      </w:r>
      <w:r w:rsidR="00B14754">
        <w:rPr>
          <w:bCs/>
        </w:rPr>
        <w:t>14/2020 tiene ef</w:t>
      </w:r>
      <w:r w:rsidR="00125D7B">
        <w:rPr>
          <w:bCs/>
        </w:rPr>
        <w:t>ecto directo en los ingresos de</w:t>
      </w:r>
      <w:r>
        <w:rPr>
          <w:bCs/>
        </w:rPr>
        <w:t xml:space="preserve"> sólo el </w:t>
      </w:r>
      <w:r w:rsidR="00B14754">
        <w:rPr>
          <w:bCs/>
        </w:rPr>
        <w:t>30,5%</w:t>
      </w:r>
      <w:r w:rsidR="00B14754">
        <w:rPr>
          <w:rStyle w:val="Refdenotaalpie"/>
          <w:bCs/>
        </w:rPr>
        <w:footnoteReference w:id="1"/>
      </w:r>
      <w:r w:rsidR="00B14754">
        <w:rPr>
          <w:bCs/>
        </w:rPr>
        <w:t xml:space="preserve"> de la fuerza laboral y con la medida análoga para los trabajadores del estado se alcanzaría a un universo mayor, del 44,8% (si no</w:t>
      </w:r>
      <w:r w:rsidR="001A1BA4">
        <w:rPr>
          <w:bCs/>
        </w:rPr>
        <w:t xml:space="preserve"> se</w:t>
      </w:r>
      <w:r w:rsidR="00B14754">
        <w:rPr>
          <w:bCs/>
        </w:rPr>
        <w:t xml:space="preserve"> establecen topes</w:t>
      </w:r>
      <w:r w:rsidR="00A731C2">
        <w:rPr>
          <w:bCs/>
        </w:rPr>
        <w:t xml:space="preserve"> salariales</w:t>
      </w:r>
      <w:r w:rsidR="00686407">
        <w:rPr>
          <w:bCs/>
        </w:rPr>
        <w:t xml:space="preserve"> y se logra extender el beneficio a los monotributistas del estado</w:t>
      </w:r>
      <w:r w:rsidR="00B14754">
        <w:rPr>
          <w:bCs/>
        </w:rPr>
        <w:t>)</w:t>
      </w:r>
      <w:r>
        <w:rPr>
          <w:bCs/>
        </w:rPr>
        <w:t xml:space="preserve">, </w:t>
      </w:r>
      <w:r w:rsidR="00F470DA">
        <w:rPr>
          <w:bCs/>
        </w:rPr>
        <w:t>se establecieron</w:t>
      </w:r>
      <w:r w:rsidR="00CE2825">
        <w:rPr>
          <w:bCs/>
        </w:rPr>
        <w:t xml:space="preserve"> con anterioridad</w:t>
      </w:r>
      <w:r w:rsidR="00F470DA">
        <w:rPr>
          <w:bCs/>
        </w:rPr>
        <w:t xml:space="preserve"> algunas </w:t>
      </w:r>
      <w:r w:rsidR="005263CE">
        <w:rPr>
          <w:bCs/>
        </w:rPr>
        <w:t>transferencias de ingresos-</w:t>
      </w:r>
      <w:r w:rsidR="00F470DA">
        <w:rPr>
          <w:bCs/>
        </w:rPr>
        <w:t xml:space="preserve">aunque de menor </w:t>
      </w:r>
      <w:r w:rsidR="005263CE">
        <w:rPr>
          <w:bCs/>
        </w:rPr>
        <w:t>magnitud</w:t>
      </w:r>
      <w:r w:rsidR="003E164D">
        <w:rPr>
          <w:bCs/>
        </w:rPr>
        <w:t>- para</w:t>
      </w:r>
      <w:r w:rsidR="00F470DA">
        <w:rPr>
          <w:bCs/>
        </w:rPr>
        <w:t xml:space="preserve"> el segmento más castigado</w:t>
      </w:r>
      <w:r w:rsidR="005263CE">
        <w:rPr>
          <w:bCs/>
        </w:rPr>
        <w:t>, es decir,</w:t>
      </w:r>
      <w:r w:rsidR="00F470DA">
        <w:rPr>
          <w:bCs/>
        </w:rPr>
        <w:t xml:space="preserve"> los trabajadores que están por fuera </w:t>
      </w:r>
      <w:r w:rsidR="003446BE">
        <w:rPr>
          <w:bCs/>
        </w:rPr>
        <w:t xml:space="preserve">de </w:t>
      </w:r>
      <w:r w:rsidR="00D261C4">
        <w:rPr>
          <w:bCs/>
        </w:rPr>
        <w:t>las instituciones del empleo</w:t>
      </w:r>
      <w:r w:rsidR="00125D7B">
        <w:rPr>
          <w:bCs/>
        </w:rPr>
        <w:t xml:space="preserve"> </w:t>
      </w:r>
      <w:r w:rsidR="005263CE">
        <w:rPr>
          <w:bCs/>
        </w:rPr>
        <w:t>forma</w:t>
      </w:r>
      <w:r w:rsidR="00D261C4">
        <w:rPr>
          <w:bCs/>
        </w:rPr>
        <w:t>l</w:t>
      </w:r>
      <w:r>
        <w:rPr>
          <w:rStyle w:val="Refdenotaalpie"/>
          <w:bCs/>
        </w:rPr>
        <w:footnoteReference w:id="2"/>
      </w:r>
      <w:r w:rsidR="005263CE">
        <w:rPr>
          <w:bCs/>
        </w:rPr>
        <w:t>.</w:t>
      </w:r>
    </w:p>
    <w:p w:rsidR="00B14754" w:rsidRDefault="00B14754" w:rsidP="00B14754">
      <w:pPr>
        <w:spacing w:after="0" w:line="240" w:lineRule="auto"/>
        <w:ind w:firstLine="708"/>
        <w:mirrorIndents/>
        <w:jc w:val="both"/>
        <w:rPr>
          <w:bCs/>
        </w:rPr>
      </w:pPr>
    </w:p>
    <w:p w:rsidR="00B14754" w:rsidRDefault="00B14754" w:rsidP="00B14754">
      <w:pPr>
        <w:spacing w:after="0" w:line="240" w:lineRule="auto"/>
        <w:ind w:firstLine="708"/>
        <w:mirrorIndents/>
        <w:jc w:val="both"/>
        <w:rPr>
          <w:bCs/>
        </w:rPr>
      </w:pPr>
    </w:p>
    <w:p w:rsidR="00B14754" w:rsidRDefault="00B14754" w:rsidP="00B14754">
      <w:pPr>
        <w:spacing w:after="0" w:line="240" w:lineRule="auto"/>
        <w:mirrorIndents/>
        <w:jc w:val="both"/>
        <w:rPr>
          <w:bCs/>
        </w:rPr>
      </w:pPr>
    </w:p>
    <w:p w:rsidR="00B14754" w:rsidRDefault="00B14754" w:rsidP="00B14754">
      <w:pPr>
        <w:spacing w:after="0" w:line="240" w:lineRule="auto"/>
        <w:mirrorIndents/>
        <w:jc w:val="both"/>
        <w:rPr>
          <w:bCs/>
        </w:rPr>
      </w:pPr>
    </w:p>
    <w:p w:rsidR="00B14754" w:rsidRDefault="00B14754" w:rsidP="00B14754">
      <w:pPr>
        <w:spacing w:after="0" w:line="240" w:lineRule="auto"/>
        <w:ind w:left="-851"/>
        <w:contextualSpacing/>
        <w:mirrorIndents/>
        <w:jc w:val="both"/>
        <w:rPr>
          <w:b/>
        </w:rPr>
      </w:pPr>
    </w:p>
    <w:p w:rsidR="00B14754" w:rsidRDefault="00B14754" w:rsidP="00B14754">
      <w:pPr>
        <w:spacing w:after="0" w:line="240" w:lineRule="auto"/>
        <w:ind w:left="-851"/>
        <w:contextualSpacing/>
        <w:mirrorIndents/>
        <w:jc w:val="both"/>
        <w:rPr>
          <w:b/>
        </w:rPr>
      </w:pPr>
    </w:p>
    <w:p w:rsidR="00B14754" w:rsidRDefault="00B14754" w:rsidP="00B14754">
      <w:pPr>
        <w:spacing w:after="0" w:line="240" w:lineRule="auto"/>
        <w:ind w:left="-851"/>
        <w:contextualSpacing/>
        <w:mirrorIndents/>
        <w:jc w:val="both"/>
        <w:rPr>
          <w:b/>
        </w:rPr>
      </w:pPr>
    </w:p>
    <w:p w:rsidR="00B14754" w:rsidRDefault="00B14754" w:rsidP="00B14754">
      <w:pPr>
        <w:spacing w:after="0" w:line="240" w:lineRule="auto"/>
        <w:ind w:left="-851"/>
        <w:contextualSpacing/>
        <w:mirrorIndents/>
        <w:jc w:val="both"/>
        <w:rPr>
          <w:b/>
        </w:rPr>
      </w:pPr>
    </w:p>
    <w:p w:rsidR="00B14754" w:rsidRDefault="00B14754" w:rsidP="00B14754">
      <w:pPr>
        <w:spacing w:after="0" w:line="240" w:lineRule="auto"/>
        <w:ind w:left="-851"/>
        <w:contextualSpacing/>
        <w:mirrorIndents/>
        <w:jc w:val="both"/>
        <w:rPr>
          <w:b/>
        </w:rPr>
      </w:pPr>
    </w:p>
    <w:p w:rsidR="00B14754" w:rsidRDefault="00B14754" w:rsidP="00B14754">
      <w:pPr>
        <w:spacing w:after="0" w:line="240" w:lineRule="auto"/>
        <w:ind w:left="-851"/>
        <w:contextualSpacing/>
        <w:mirrorIndents/>
        <w:jc w:val="center"/>
      </w:pPr>
      <w:r>
        <w:rPr>
          <w:b/>
          <w:noProof/>
          <w:lang w:val="es-AR" w:eastAsia="es-AR"/>
        </w:rPr>
        <w:drawing>
          <wp:anchor distT="0" distB="0" distL="114300" distR="114300" simplePos="0" relativeHeight="251659264" behindDoc="1" locked="0" layoutInCell="1" allowOverlap="1">
            <wp:simplePos x="0" y="0"/>
            <wp:positionH relativeFrom="column">
              <wp:posOffset>-443865</wp:posOffset>
            </wp:positionH>
            <wp:positionV relativeFrom="paragraph">
              <wp:posOffset>236220</wp:posOffset>
            </wp:positionV>
            <wp:extent cx="6717030" cy="2190750"/>
            <wp:effectExtent l="19050" t="0" r="7620" b="0"/>
            <wp:wrapTight wrapText="bothSides">
              <wp:wrapPolygon edited="0">
                <wp:start x="-61" y="0"/>
                <wp:lineTo x="-61" y="21224"/>
                <wp:lineTo x="21625" y="21224"/>
                <wp:lineTo x="21625" y="188"/>
                <wp:lineTo x="19909" y="0"/>
                <wp:lineTo x="-61"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17030" cy="2190750"/>
                    </a:xfrm>
                    <a:prstGeom prst="rect">
                      <a:avLst/>
                    </a:prstGeom>
                    <a:noFill/>
                    <a:ln w="9525">
                      <a:noFill/>
                      <a:miter lim="800000"/>
                      <a:headEnd/>
                      <a:tailEnd/>
                    </a:ln>
                  </pic:spPr>
                </pic:pic>
              </a:graphicData>
            </a:graphic>
          </wp:anchor>
        </w:drawing>
      </w:r>
      <w:r w:rsidRPr="00EF03F3">
        <w:rPr>
          <w:b/>
        </w:rPr>
        <w:t>Cuadro Nº 1: Evolución del índice salarial según sector. Dic-15 vs Oct-19. Total Nacional</w:t>
      </w:r>
      <w:r w:rsidRPr="00EF03F3">
        <w:t>.</w:t>
      </w:r>
    </w:p>
    <w:p w:rsidR="00B14754" w:rsidRDefault="00B14754" w:rsidP="00B14754">
      <w:pPr>
        <w:spacing w:after="0" w:line="240" w:lineRule="auto"/>
        <w:ind w:left="-851"/>
        <w:contextualSpacing/>
        <w:mirrorIndents/>
        <w:jc w:val="center"/>
      </w:pPr>
      <w:r>
        <w:t>Fuente: Elaboración propia en base a datos de la EPH- Indec.</w:t>
      </w:r>
    </w:p>
    <w:p w:rsidR="00B14754" w:rsidRDefault="00B14754" w:rsidP="00B14754">
      <w:pPr>
        <w:spacing w:after="0" w:line="240" w:lineRule="auto"/>
        <w:contextualSpacing/>
        <w:mirrorIndents/>
        <w:jc w:val="both"/>
      </w:pPr>
    </w:p>
    <w:p w:rsidR="00B14754" w:rsidRDefault="00B14754" w:rsidP="00B14754">
      <w:pPr>
        <w:spacing w:after="0" w:line="240" w:lineRule="auto"/>
        <w:contextualSpacing/>
        <w:mirrorIndents/>
        <w:jc w:val="both"/>
        <w:rPr>
          <w:b/>
        </w:rPr>
      </w:pPr>
    </w:p>
    <w:p w:rsidR="00B14754" w:rsidRPr="0039505E" w:rsidRDefault="00B14754" w:rsidP="00B14754">
      <w:pPr>
        <w:spacing w:after="0" w:line="240" w:lineRule="auto"/>
        <w:ind w:left="-851"/>
        <w:contextualSpacing/>
        <w:mirrorIndents/>
        <w:jc w:val="both"/>
        <w:rPr>
          <w:b/>
        </w:rPr>
      </w:pPr>
      <w:r>
        <w:rPr>
          <w:b/>
        </w:rPr>
        <w:t>Cuadro Nº 2</w:t>
      </w:r>
      <w:r w:rsidRPr="0039505E">
        <w:rPr>
          <w:b/>
        </w:rPr>
        <w:t>: Proporción de as</w:t>
      </w:r>
      <w:r>
        <w:rPr>
          <w:b/>
        </w:rPr>
        <w:t xml:space="preserve">alariados según sector sobre el total de la </w:t>
      </w:r>
      <w:r w:rsidRPr="0039505E">
        <w:rPr>
          <w:b/>
        </w:rPr>
        <w:t>fuerza laboral. 2º Trimestre 2019. Total Nacional.</w:t>
      </w:r>
    </w:p>
    <w:tbl>
      <w:tblPr>
        <w:tblW w:w="5718" w:type="dxa"/>
        <w:jc w:val="center"/>
        <w:tblCellMar>
          <w:left w:w="70" w:type="dxa"/>
          <w:right w:w="70" w:type="dxa"/>
        </w:tblCellMar>
        <w:tblLook w:val="04A0"/>
      </w:tblPr>
      <w:tblGrid>
        <w:gridCol w:w="1120"/>
        <w:gridCol w:w="1032"/>
        <w:gridCol w:w="1326"/>
        <w:gridCol w:w="1060"/>
        <w:gridCol w:w="1180"/>
      </w:tblGrid>
      <w:tr w:rsidR="00B14754" w:rsidRPr="0039505E" w:rsidTr="00125D7B">
        <w:trPr>
          <w:trHeight w:val="285"/>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B14754" w:rsidRPr="0039505E" w:rsidRDefault="00B14754" w:rsidP="00125D7B">
            <w:pPr>
              <w:spacing w:after="0" w:line="240" w:lineRule="auto"/>
              <w:contextualSpacing/>
              <w:mirrorIndents/>
              <w:rPr>
                <w:rFonts w:ascii="Calibri" w:eastAsia="Times New Roman" w:hAnsi="Calibri" w:cs="Times New Roman"/>
                <w:b/>
                <w:bCs/>
                <w:color w:val="FFFFFF"/>
                <w:sz w:val="20"/>
                <w:szCs w:val="20"/>
              </w:rPr>
            </w:pPr>
            <w:r w:rsidRPr="0039505E">
              <w:rPr>
                <w:rFonts w:ascii="Calibri" w:eastAsia="Times New Roman" w:hAnsi="Calibri" w:cs="Times New Roman"/>
                <w:b/>
                <w:bCs/>
                <w:color w:val="FFFFFF"/>
                <w:sz w:val="20"/>
                <w:szCs w:val="20"/>
              </w:rPr>
              <w:t> </w:t>
            </w:r>
          </w:p>
        </w:tc>
        <w:tc>
          <w:tcPr>
            <w:tcW w:w="2358" w:type="dxa"/>
            <w:gridSpan w:val="2"/>
            <w:tcBorders>
              <w:top w:val="single" w:sz="4" w:space="0" w:color="auto"/>
              <w:left w:val="nil"/>
              <w:bottom w:val="single" w:sz="4" w:space="0" w:color="auto"/>
              <w:right w:val="single" w:sz="4" w:space="0" w:color="auto"/>
            </w:tcBorders>
            <w:shd w:val="clear" w:color="000000" w:fill="538ED5"/>
            <w:noWrap/>
            <w:vAlign w:val="center"/>
            <w:hideMark/>
          </w:tcPr>
          <w:p w:rsidR="00B14754" w:rsidRPr="0039505E" w:rsidRDefault="00B14754" w:rsidP="00125D7B">
            <w:pPr>
              <w:spacing w:after="0" w:line="240" w:lineRule="auto"/>
              <w:contextualSpacing/>
              <w:mirrorIndents/>
              <w:rPr>
                <w:rFonts w:ascii="Calibri" w:eastAsia="Times New Roman" w:hAnsi="Calibri" w:cs="Times New Roman"/>
                <w:b/>
                <w:bCs/>
                <w:color w:val="FFFFFF"/>
                <w:sz w:val="20"/>
                <w:szCs w:val="20"/>
              </w:rPr>
            </w:pPr>
            <w:r w:rsidRPr="0039505E">
              <w:rPr>
                <w:rFonts w:ascii="Calibri" w:eastAsia="Times New Roman" w:hAnsi="Calibri" w:cs="Times New Roman"/>
                <w:b/>
                <w:bCs/>
                <w:color w:val="FFFFFF"/>
                <w:sz w:val="20"/>
                <w:szCs w:val="20"/>
              </w:rPr>
              <w:t>Sector Privado</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538ED5"/>
            <w:vAlign w:val="center"/>
            <w:hideMark/>
          </w:tcPr>
          <w:p w:rsidR="00B14754" w:rsidRPr="0039505E" w:rsidRDefault="00B14754" w:rsidP="00125D7B">
            <w:pPr>
              <w:spacing w:after="0" w:line="240" w:lineRule="auto"/>
              <w:contextualSpacing/>
              <w:mirrorIndents/>
              <w:rPr>
                <w:rFonts w:ascii="Calibri" w:eastAsia="Times New Roman" w:hAnsi="Calibri" w:cs="Times New Roman"/>
                <w:b/>
                <w:bCs/>
                <w:color w:val="FFFFFF"/>
                <w:sz w:val="20"/>
                <w:szCs w:val="20"/>
              </w:rPr>
            </w:pPr>
            <w:r w:rsidRPr="0039505E">
              <w:rPr>
                <w:rFonts w:ascii="Calibri" w:eastAsia="Times New Roman" w:hAnsi="Calibri" w:cs="Times New Roman"/>
                <w:b/>
                <w:bCs/>
                <w:color w:val="FFFFFF"/>
                <w:sz w:val="20"/>
                <w:szCs w:val="20"/>
              </w:rPr>
              <w:t>Sector Público</w:t>
            </w:r>
            <w:r>
              <w:rPr>
                <w:rFonts w:ascii="Calibri" w:eastAsia="Times New Roman" w:hAnsi="Calibri" w:cs="Times New Roman"/>
                <w:b/>
                <w:bCs/>
                <w:color w:val="FFFFFF"/>
                <w:sz w:val="20"/>
                <w:szCs w:val="20"/>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538ED5"/>
            <w:vAlign w:val="center"/>
            <w:hideMark/>
          </w:tcPr>
          <w:p w:rsidR="00B14754" w:rsidRPr="0039505E" w:rsidRDefault="00B14754" w:rsidP="00125D7B">
            <w:pPr>
              <w:spacing w:after="0" w:line="240" w:lineRule="auto"/>
              <w:contextualSpacing/>
              <w:mirrorIndents/>
              <w:rPr>
                <w:rFonts w:ascii="Calibri" w:eastAsia="Times New Roman" w:hAnsi="Calibri" w:cs="Times New Roman"/>
                <w:b/>
                <w:bCs/>
                <w:color w:val="FFFFFF"/>
                <w:sz w:val="20"/>
                <w:szCs w:val="20"/>
              </w:rPr>
            </w:pPr>
            <w:r w:rsidRPr="0039505E">
              <w:rPr>
                <w:rFonts w:ascii="Calibri" w:eastAsia="Times New Roman" w:hAnsi="Calibri" w:cs="Times New Roman"/>
                <w:b/>
                <w:bCs/>
                <w:color w:val="FFFFFF"/>
                <w:sz w:val="20"/>
                <w:szCs w:val="20"/>
              </w:rPr>
              <w:t>Total Registrados</w:t>
            </w:r>
          </w:p>
        </w:tc>
      </w:tr>
      <w:tr w:rsidR="00B14754" w:rsidRPr="0039505E" w:rsidTr="00125D7B">
        <w:trPr>
          <w:trHeight w:val="330"/>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B14754" w:rsidRPr="0039505E" w:rsidRDefault="00B14754" w:rsidP="00125D7B">
            <w:pPr>
              <w:spacing w:after="0" w:line="240" w:lineRule="auto"/>
              <w:contextualSpacing/>
              <w:mirrorIndents/>
              <w:rPr>
                <w:rFonts w:ascii="Calibri" w:eastAsia="Times New Roman" w:hAnsi="Calibri" w:cs="Times New Roman"/>
                <w:b/>
                <w:bCs/>
                <w:color w:val="FFFFFF"/>
                <w:sz w:val="20"/>
                <w:szCs w:val="20"/>
              </w:rPr>
            </w:pPr>
          </w:p>
        </w:tc>
        <w:tc>
          <w:tcPr>
            <w:tcW w:w="1032" w:type="dxa"/>
            <w:tcBorders>
              <w:top w:val="nil"/>
              <w:left w:val="nil"/>
              <w:bottom w:val="single" w:sz="4" w:space="0" w:color="auto"/>
              <w:right w:val="single" w:sz="4" w:space="0" w:color="auto"/>
            </w:tcBorders>
            <w:shd w:val="clear" w:color="000000" w:fill="538ED5"/>
            <w:noWrap/>
            <w:vAlign w:val="center"/>
            <w:hideMark/>
          </w:tcPr>
          <w:p w:rsidR="00B14754" w:rsidRPr="0039505E" w:rsidRDefault="00B14754" w:rsidP="00125D7B">
            <w:pPr>
              <w:spacing w:after="0" w:line="240" w:lineRule="auto"/>
              <w:contextualSpacing/>
              <w:mirrorIndents/>
              <w:rPr>
                <w:rFonts w:ascii="Calibri" w:eastAsia="Times New Roman" w:hAnsi="Calibri" w:cs="Times New Roman"/>
                <w:b/>
                <w:bCs/>
                <w:color w:val="FFFFFF"/>
                <w:sz w:val="20"/>
                <w:szCs w:val="20"/>
              </w:rPr>
            </w:pPr>
            <w:r w:rsidRPr="0039505E">
              <w:rPr>
                <w:rFonts w:ascii="Calibri" w:eastAsia="Times New Roman" w:hAnsi="Calibri" w:cs="Times New Roman"/>
                <w:b/>
                <w:bCs/>
                <w:color w:val="FFFFFF"/>
                <w:sz w:val="20"/>
                <w:szCs w:val="20"/>
              </w:rPr>
              <w:t>Registrado</w:t>
            </w:r>
          </w:p>
        </w:tc>
        <w:tc>
          <w:tcPr>
            <w:tcW w:w="1326" w:type="dxa"/>
            <w:tcBorders>
              <w:top w:val="nil"/>
              <w:left w:val="nil"/>
              <w:bottom w:val="single" w:sz="4" w:space="0" w:color="auto"/>
              <w:right w:val="single" w:sz="4" w:space="0" w:color="auto"/>
            </w:tcBorders>
            <w:shd w:val="clear" w:color="000000" w:fill="538ED5"/>
            <w:noWrap/>
            <w:vAlign w:val="center"/>
            <w:hideMark/>
          </w:tcPr>
          <w:p w:rsidR="00B14754" w:rsidRPr="0039505E" w:rsidRDefault="00B14754" w:rsidP="00125D7B">
            <w:pPr>
              <w:spacing w:after="0" w:line="240" w:lineRule="auto"/>
              <w:contextualSpacing/>
              <w:mirrorIndents/>
              <w:rPr>
                <w:rFonts w:ascii="Calibri" w:eastAsia="Times New Roman" w:hAnsi="Calibri" w:cs="Times New Roman"/>
                <w:b/>
                <w:bCs/>
                <w:color w:val="FFFFFF"/>
                <w:sz w:val="20"/>
                <w:szCs w:val="20"/>
              </w:rPr>
            </w:pPr>
            <w:r w:rsidRPr="0039505E">
              <w:rPr>
                <w:rFonts w:ascii="Calibri" w:eastAsia="Times New Roman" w:hAnsi="Calibri" w:cs="Times New Roman"/>
                <w:b/>
                <w:bCs/>
                <w:color w:val="FFFFFF"/>
                <w:sz w:val="20"/>
                <w:szCs w:val="20"/>
              </w:rPr>
              <w:t>No Registrado</w:t>
            </w: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B14754" w:rsidRPr="0039505E" w:rsidRDefault="00B14754" w:rsidP="00125D7B">
            <w:pPr>
              <w:spacing w:after="0" w:line="240" w:lineRule="auto"/>
              <w:contextualSpacing/>
              <w:mirrorIndents/>
              <w:rPr>
                <w:rFonts w:ascii="Calibri" w:eastAsia="Times New Roman" w:hAnsi="Calibri" w:cs="Times New Roman"/>
                <w:b/>
                <w:bCs/>
                <w:color w:val="FFFFFF"/>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B14754" w:rsidRPr="0039505E" w:rsidRDefault="00B14754" w:rsidP="00125D7B">
            <w:pPr>
              <w:spacing w:after="0" w:line="240" w:lineRule="auto"/>
              <w:contextualSpacing/>
              <w:mirrorIndents/>
              <w:rPr>
                <w:rFonts w:ascii="Calibri" w:eastAsia="Times New Roman" w:hAnsi="Calibri" w:cs="Times New Roman"/>
                <w:b/>
                <w:bCs/>
                <w:color w:val="FFFFFF"/>
                <w:sz w:val="20"/>
                <w:szCs w:val="20"/>
              </w:rPr>
            </w:pPr>
          </w:p>
        </w:tc>
      </w:tr>
      <w:tr w:rsidR="00B14754" w:rsidRPr="0039505E" w:rsidTr="00125D7B">
        <w:trPr>
          <w:trHeight w:val="81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B14754" w:rsidRPr="0039505E" w:rsidRDefault="00B14754" w:rsidP="00125D7B">
            <w:pPr>
              <w:spacing w:after="0" w:line="240" w:lineRule="auto"/>
              <w:contextualSpacing/>
              <w:mirrorIndents/>
              <w:rPr>
                <w:rFonts w:ascii="Calibri" w:eastAsia="Times New Roman" w:hAnsi="Calibri" w:cs="Times New Roman"/>
                <w:b/>
                <w:bCs/>
                <w:color w:val="000000"/>
                <w:sz w:val="20"/>
                <w:szCs w:val="20"/>
              </w:rPr>
            </w:pPr>
            <w:r w:rsidRPr="0039505E">
              <w:rPr>
                <w:rFonts w:ascii="Calibri" w:eastAsia="Times New Roman" w:hAnsi="Calibri" w:cs="Times New Roman"/>
                <w:b/>
                <w:bCs/>
                <w:color w:val="000000"/>
                <w:sz w:val="20"/>
                <w:szCs w:val="20"/>
              </w:rPr>
              <w:t>% sobre la fuerza laboral</w:t>
            </w:r>
          </w:p>
        </w:tc>
        <w:tc>
          <w:tcPr>
            <w:tcW w:w="1032" w:type="dxa"/>
            <w:tcBorders>
              <w:top w:val="nil"/>
              <w:left w:val="nil"/>
              <w:bottom w:val="single" w:sz="4" w:space="0" w:color="auto"/>
              <w:right w:val="single" w:sz="4" w:space="0" w:color="auto"/>
            </w:tcBorders>
            <w:shd w:val="clear" w:color="auto" w:fill="auto"/>
            <w:noWrap/>
            <w:vAlign w:val="center"/>
            <w:hideMark/>
          </w:tcPr>
          <w:p w:rsidR="00B14754" w:rsidRPr="0039505E" w:rsidRDefault="00B14754" w:rsidP="001A1BA4">
            <w:pPr>
              <w:spacing w:after="0" w:line="240" w:lineRule="auto"/>
              <w:contextualSpacing/>
              <w:mirrorIndents/>
              <w:jc w:val="right"/>
              <w:rPr>
                <w:rFonts w:ascii="Calibri" w:eastAsia="Times New Roman" w:hAnsi="Calibri" w:cs="Times New Roman"/>
                <w:color w:val="000000"/>
                <w:sz w:val="20"/>
                <w:szCs w:val="20"/>
              </w:rPr>
            </w:pPr>
            <w:r w:rsidRPr="0039505E">
              <w:rPr>
                <w:rFonts w:ascii="Calibri" w:eastAsia="Times New Roman" w:hAnsi="Calibri" w:cs="Times New Roman"/>
                <w:color w:val="000000"/>
                <w:sz w:val="20"/>
                <w:szCs w:val="20"/>
              </w:rPr>
              <w:t>30,5%</w:t>
            </w:r>
          </w:p>
        </w:tc>
        <w:tc>
          <w:tcPr>
            <w:tcW w:w="1326" w:type="dxa"/>
            <w:tcBorders>
              <w:top w:val="nil"/>
              <w:left w:val="nil"/>
              <w:bottom w:val="single" w:sz="4" w:space="0" w:color="auto"/>
              <w:right w:val="single" w:sz="4" w:space="0" w:color="auto"/>
            </w:tcBorders>
            <w:shd w:val="clear" w:color="auto" w:fill="auto"/>
            <w:noWrap/>
            <w:vAlign w:val="center"/>
            <w:hideMark/>
          </w:tcPr>
          <w:p w:rsidR="00B14754" w:rsidRPr="0039505E" w:rsidRDefault="00B14754" w:rsidP="001A1BA4">
            <w:pPr>
              <w:spacing w:after="0" w:line="240" w:lineRule="auto"/>
              <w:contextualSpacing/>
              <w:mirrorIndents/>
              <w:jc w:val="right"/>
              <w:rPr>
                <w:rFonts w:ascii="Calibri" w:eastAsia="Times New Roman" w:hAnsi="Calibri" w:cs="Times New Roman"/>
                <w:color w:val="000000"/>
                <w:sz w:val="20"/>
                <w:szCs w:val="20"/>
              </w:rPr>
            </w:pPr>
            <w:r w:rsidRPr="0039505E">
              <w:rPr>
                <w:rFonts w:ascii="Calibri" w:eastAsia="Times New Roman" w:hAnsi="Calibri" w:cs="Times New Roman"/>
                <w:color w:val="000000"/>
                <w:sz w:val="20"/>
                <w:szCs w:val="20"/>
              </w:rPr>
              <w:t>21,5%</w:t>
            </w:r>
          </w:p>
        </w:tc>
        <w:tc>
          <w:tcPr>
            <w:tcW w:w="1060" w:type="dxa"/>
            <w:tcBorders>
              <w:top w:val="nil"/>
              <w:left w:val="nil"/>
              <w:bottom w:val="single" w:sz="4" w:space="0" w:color="auto"/>
              <w:right w:val="single" w:sz="4" w:space="0" w:color="auto"/>
            </w:tcBorders>
            <w:shd w:val="clear" w:color="auto" w:fill="auto"/>
            <w:noWrap/>
            <w:vAlign w:val="center"/>
            <w:hideMark/>
          </w:tcPr>
          <w:p w:rsidR="00B14754" w:rsidRPr="0039505E" w:rsidRDefault="00B14754" w:rsidP="001A1BA4">
            <w:pPr>
              <w:spacing w:after="0" w:line="240" w:lineRule="auto"/>
              <w:contextualSpacing/>
              <w:mirrorIndents/>
              <w:jc w:val="right"/>
              <w:rPr>
                <w:rFonts w:ascii="Calibri" w:eastAsia="Times New Roman" w:hAnsi="Calibri" w:cs="Times New Roman"/>
                <w:color w:val="000000"/>
                <w:sz w:val="20"/>
                <w:szCs w:val="20"/>
              </w:rPr>
            </w:pPr>
            <w:r w:rsidRPr="0039505E">
              <w:rPr>
                <w:rFonts w:ascii="Calibri" w:eastAsia="Times New Roman" w:hAnsi="Calibri" w:cs="Times New Roman"/>
                <w:color w:val="000000"/>
                <w:sz w:val="20"/>
                <w:szCs w:val="20"/>
              </w:rPr>
              <w:t>15,2%</w:t>
            </w:r>
          </w:p>
        </w:tc>
        <w:tc>
          <w:tcPr>
            <w:tcW w:w="1180" w:type="dxa"/>
            <w:tcBorders>
              <w:top w:val="nil"/>
              <w:left w:val="nil"/>
              <w:bottom w:val="single" w:sz="4" w:space="0" w:color="auto"/>
              <w:right w:val="single" w:sz="4" w:space="0" w:color="auto"/>
            </w:tcBorders>
            <w:shd w:val="clear" w:color="auto" w:fill="auto"/>
            <w:noWrap/>
            <w:vAlign w:val="center"/>
            <w:hideMark/>
          </w:tcPr>
          <w:p w:rsidR="00B14754" w:rsidRPr="0039505E" w:rsidRDefault="00B14754" w:rsidP="001A1BA4">
            <w:pPr>
              <w:spacing w:after="0" w:line="240" w:lineRule="auto"/>
              <w:contextualSpacing/>
              <w:mirrorIndents/>
              <w:jc w:val="right"/>
              <w:rPr>
                <w:rFonts w:ascii="Calibri" w:eastAsia="Times New Roman" w:hAnsi="Calibri" w:cs="Times New Roman"/>
                <w:color w:val="000000"/>
                <w:sz w:val="20"/>
                <w:szCs w:val="20"/>
              </w:rPr>
            </w:pPr>
            <w:r w:rsidRPr="0039505E">
              <w:rPr>
                <w:rFonts w:ascii="Calibri" w:eastAsia="Times New Roman" w:hAnsi="Calibri" w:cs="Times New Roman"/>
                <w:color w:val="000000"/>
                <w:sz w:val="20"/>
                <w:szCs w:val="20"/>
              </w:rPr>
              <w:t>44,8%</w:t>
            </w:r>
          </w:p>
        </w:tc>
      </w:tr>
    </w:tbl>
    <w:p w:rsidR="00B14754" w:rsidRDefault="00B14754" w:rsidP="001A1BA4">
      <w:pPr>
        <w:spacing w:after="0" w:line="240" w:lineRule="auto"/>
        <w:ind w:left="-851"/>
        <w:contextualSpacing/>
        <w:mirrorIndents/>
        <w:jc w:val="center"/>
        <w:rPr>
          <w:sz w:val="20"/>
          <w:szCs w:val="20"/>
        </w:rPr>
      </w:pPr>
      <w:r>
        <w:rPr>
          <w:sz w:val="20"/>
          <w:szCs w:val="20"/>
        </w:rPr>
        <w:t>(*) hay un 11% del ámbito estatal que es no registrado</w:t>
      </w:r>
    </w:p>
    <w:p w:rsidR="00B14754" w:rsidRPr="009D7FDF" w:rsidRDefault="00B14754" w:rsidP="001A1BA4">
      <w:pPr>
        <w:spacing w:after="0" w:line="240" w:lineRule="auto"/>
        <w:ind w:left="-851"/>
        <w:contextualSpacing/>
        <w:mirrorIndents/>
        <w:jc w:val="center"/>
        <w:rPr>
          <w:sz w:val="20"/>
          <w:szCs w:val="20"/>
        </w:rPr>
      </w:pPr>
      <w:r w:rsidRPr="009D7FDF">
        <w:rPr>
          <w:sz w:val="20"/>
          <w:szCs w:val="20"/>
        </w:rPr>
        <w:t>Fuente: Elaboración propia en base a datos de la EPH- Indec.</w:t>
      </w:r>
    </w:p>
    <w:p w:rsidR="00B14754" w:rsidRDefault="00B14754" w:rsidP="00B14754">
      <w:pPr>
        <w:spacing w:after="0" w:line="240" w:lineRule="auto"/>
        <w:contextualSpacing/>
        <w:mirrorIndents/>
        <w:jc w:val="both"/>
        <w:rPr>
          <w:b/>
        </w:rPr>
      </w:pPr>
    </w:p>
    <w:p w:rsidR="00B14754" w:rsidRDefault="00B14754" w:rsidP="00B14754">
      <w:pPr>
        <w:spacing w:after="0" w:line="240" w:lineRule="auto"/>
        <w:contextualSpacing/>
        <w:mirrorIndents/>
        <w:jc w:val="both"/>
        <w:rPr>
          <w:b/>
        </w:rPr>
      </w:pPr>
    </w:p>
    <w:p w:rsidR="00B14754" w:rsidRDefault="00B14754" w:rsidP="00B14754">
      <w:pPr>
        <w:spacing w:after="0" w:line="240" w:lineRule="auto"/>
        <w:contextualSpacing/>
        <w:mirrorIndents/>
        <w:jc w:val="both"/>
        <w:rPr>
          <w:b/>
        </w:rPr>
      </w:pPr>
      <w:r>
        <w:rPr>
          <w:b/>
        </w:rPr>
        <w:t>C</w:t>
      </w:r>
      <w:r w:rsidRPr="00A41E8E">
        <w:rPr>
          <w:b/>
        </w:rPr>
        <w:t xml:space="preserve">uadro Nº </w:t>
      </w:r>
      <w:r>
        <w:rPr>
          <w:b/>
        </w:rPr>
        <w:t>3</w:t>
      </w:r>
      <w:r w:rsidRPr="00A41E8E">
        <w:rPr>
          <w:b/>
        </w:rPr>
        <w:t>: Proporción de la suma fija remunerativa de $4.000 según tramo salarial para los aportantes en relación de dependencia del SIPA</w:t>
      </w:r>
      <w:r>
        <w:rPr>
          <w:b/>
        </w:rPr>
        <w:t xml:space="preserve"> (públicos y privados)</w:t>
      </w:r>
      <w:r w:rsidRPr="00A41E8E">
        <w:rPr>
          <w:b/>
        </w:rPr>
        <w:t>. 1º Trimestre 2019.</w:t>
      </w:r>
    </w:p>
    <w:p w:rsidR="00355ACE" w:rsidRDefault="00355ACE" w:rsidP="00B14754">
      <w:pPr>
        <w:spacing w:after="0" w:line="240" w:lineRule="auto"/>
        <w:contextualSpacing/>
        <w:mirrorIndents/>
        <w:jc w:val="both"/>
        <w:rPr>
          <w:b/>
        </w:rPr>
      </w:pPr>
    </w:p>
    <w:p w:rsidR="00355ACE" w:rsidRDefault="00355ACE" w:rsidP="00B14754">
      <w:pPr>
        <w:spacing w:after="0" w:line="240" w:lineRule="auto"/>
        <w:contextualSpacing/>
        <w:mirrorIndents/>
        <w:jc w:val="both"/>
        <w:rPr>
          <w:b/>
        </w:rPr>
      </w:pPr>
      <w:r w:rsidRPr="00355ACE">
        <w:rPr>
          <w:b/>
          <w:noProof/>
          <w:lang w:val="es-AR" w:eastAsia="es-AR"/>
        </w:rPr>
        <w:drawing>
          <wp:inline distT="0" distB="0" distL="0" distR="0">
            <wp:extent cx="5760085" cy="24161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085" cy="2416175"/>
                    </a:xfrm>
                    <a:prstGeom prst="rect">
                      <a:avLst/>
                    </a:prstGeom>
                  </pic:spPr>
                </pic:pic>
              </a:graphicData>
            </a:graphic>
          </wp:inline>
        </w:drawing>
      </w:r>
    </w:p>
    <w:p w:rsidR="00B14754" w:rsidRPr="009D7FDF" w:rsidRDefault="00B14754" w:rsidP="00B14754">
      <w:pPr>
        <w:spacing w:after="0" w:line="240" w:lineRule="auto"/>
        <w:contextualSpacing/>
        <w:mirrorIndents/>
        <w:jc w:val="both"/>
        <w:rPr>
          <w:sz w:val="20"/>
          <w:szCs w:val="20"/>
        </w:rPr>
      </w:pPr>
      <w:r w:rsidRPr="009D7FDF">
        <w:rPr>
          <w:sz w:val="20"/>
          <w:szCs w:val="20"/>
        </w:rPr>
        <w:t>Fuente: Elaboración propia en base al Boletín Estadístico de la Seguridad Social (BESS) 1º Trimestre 2019.</w:t>
      </w:r>
    </w:p>
    <w:p w:rsidR="00B14754" w:rsidRPr="009D7FDF" w:rsidRDefault="00B14754" w:rsidP="00B14754">
      <w:pPr>
        <w:spacing w:after="0" w:line="240" w:lineRule="auto"/>
        <w:contextualSpacing/>
        <w:mirrorIndents/>
        <w:jc w:val="both"/>
        <w:rPr>
          <w:sz w:val="20"/>
          <w:szCs w:val="20"/>
        </w:rPr>
      </w:pPr>
      <w:r w:rsidRPr="009D7FDF">
        <w:rPr>
          <w:sz w:val="20"/>
          <w:szCs w:val="20"/>
        </w:rPr>
        <w:t>(*) Se considera el salario remunerativo</w:t>
      </w:r>
    </w:p>
    <w:p w:rsidR="00B14754" w:rsidRDefault="00B14754" w:rsidP="00B14754">
      <w:pPr>
        <w:spacing w:after="0" w:line="240" w:lineRule="auto"/>
        <w:ind w:left="-851"/>
        <w:contextualSpacing/>
        <w:mirrorIndents/>
        <w:jc w:val="both"/>
      </w:pPr>
    </w:p>
    <w:p w:rsidR="00B14754" w:rsidRDefault="00B14754" w:rsidP="00B14754">
      <w:pPr>
        <w:spacing w:after="0" w:line="240" w:lineRule="auto"/>
        <w:ind w:left="-851"/>
        <w:contextualSpacing/>
        <w:mirrorIndents/>
        <w:jc w:val="both"/>
      </w:pPr>
    </w:p>
    <w:p w:rsidR="00B14754" w:rsidRDefault="00B14754" w:rsidP="00B14754">
      <w:pPr>
        <w:spacing w:after="0" w:line="240" w:lineRule="auto"/>
        <w:ind w:left="-851"/>
        <w:contextualSpacing/>
        <w:mirrorIndents/>
        <w:jc w:val="both"/>
      </w:pPr>
    </w:p>
    <w:p w:rsidR="00B14754" w:rsidRDefault="00B14754" w:rsidP="001A1BA4">
      <w:pPr>
        <w:spacing w:after="0" w:line="240" w:lineRule="auto"/>
        <w:ind w:firstLine="708"/>
        <w:contextualSpacing/>
        <w:mirrorIndents/>
        <w:jc w:val="both"/>
      </w:pPr>
      <w:r>
        <w:t xml:space="preserve">Al considerar dos fuentes </w:t>
      </w:r>
      <w:r w:rsidR="006F02EF">
        <w:t>de información pública</w:t>
      </w:r>
      <w:r w:rsidR="00936C61">
        <w:t xml:space="preserve"> que</w:t>
      </w:r>
      <w:r>
        <w:t xml:space="preserve"> proveen </w:t>
      </w:r>
      <w:r w:rsidR="005E36AC">
        <w:t>datos</w:t>
      </w:r>
      <w:r>
        <w:t xml:space="preserve"> </w:t>
      </w:r>
      <w:r w:rsidR="00125D7B">
        <w:t xml:space="preserve">sobre </w:t>
      </w:r>
      <w:r>
        <w:t xml:space="preserve">la trayectoria de los salarios del sector privado registrado </w:t>
      </w:r>
      <w:r w:rsidR="001A1BA4">
        <w:t xml:space="preserve">(OEDE y RIPTE) </w:t>
      </w:r>
      <w:r>
        <w:t>puede verificarse que los $4.000 que se harán efectivos a partir de febrero</w:t>
      </w:r>
      <w:r>
        <w:rPr>
          <w:rStyle w:val="Refdenotaalpie"/>
        </w:rPr>
        <w:footnoteReference w:id="3"/>
      </w:r>
      <w:r>
        <w:t xml:space="preserve"> representan poco más de</w:t>
      </w:r>
      <w:r w:rsidR="00125D7B">
        <w:t>l</w:t>
      </w:r>
      <w:r>
        <w:t xml:space="preserve"> 8,4% de aumento salarial. Según lo establecido por el decreto, el incremento representa un adelanto de las paritarias que tendrán lugar durante este año. En otros términos, para el caso testigo de un salario que coincida con el nivel del promedio, si la paritaria resuelve un incremento del 10% en el primer tramo a partir de </w:t>
      </w:r>
      <w:r w:rsidR="005E36AC">
        <w:t>mayo,</w:t>
      </w:r>
      <w:r>
        <w:t xml:space="preserve"> por ejemplo, durante ese mes recibirá la diferencia entre el 10% y el 8,4%.</w:t>
      </w:r>
    </w:p>
    <w:p w:rsidR="00B14754" w:rsidRDefault="00B14754" w:rsidP="00B14754">
      <w:pPr>
        <w:spacing w:after="0" w:line="240" w:lineRule="auto"/>
        <w:contextualSpacing/>
        <w:mirrorIndents/>
        <w:jc w:val="both"/>
      </w:pPr>
    </w:p>
    <w:p w:rsidR="00B14754" w:rsidRDefault="00B14754" w:rsidP="00314CEB">
      <w:pPr>
        <w:tabs>
          <w:tab w:val="left" w:pos="3052"/>
        </w:tabs>
        <w:spacing w:after="0" w:line="240" w:lineRule="auto"/>
        <w:ind w:firstLine="708"/>
        <w:contextualSpacing/>
        <w:mirrorIndents/>
        <w:jc w:val="both"/>
      </w:pPr>
      <w:r>
        <w:t xml:space="preserve">El efecto del adelanto del aumento salarial permite subsanar parte de lo perdido en el último tiempo de sistemático retroceso. Mientras la caída real del salario durante el último año (último dato a septiembre) se estima en el orden del –2,3%, el reciente incremento logra revertirla y transformarla en una recuperación del +5,9%. De esta manera, </w:t>
      </w:r>
      <w:r w:rsidR="0061470D">
        <w:t>permite</w:t>
      </w:r>
      <w:r>
        <w:t xml:space="preserve"> achicar los márgenes de caída salarial en general. Para ponerlo en términos concretos mientras los asalariados registrados del ámbito privado perdieron el –14,5% del salario en la gestión macrista, el aumento acorta la brecha a la mitad (-7,3%). En el caso del RIPTE, la caída salarial de los últimos cuatro años del -17,1% se convierte en una caída del -10,2% </w:t>
      </w:r>
      <w:r w:rsidR="0061470D">
        <w:t>cuando</w:t>
      </w:r>
      <w:r>
        <w:t xml:space="preserve"> opera el aumento de $4.000</w:t>
      </w:r>
      <w:r w:rsidR="0061470D">
        <w:t xml:space="preserve"> dispuesto</w:t>
      </w:r>
      <w:r>
        <w:t xml:space="preserve">. </w:t>
      </w:r>
      <w:r w:rsidR="0061470D">
        <w:t xml:space="preserve">Realizando un ejercicio que permita cuantificar la pérdida en pesos de los últimos meses, se verifica </w:t>
      </w:r>
      <w:r w:rsidR="00283D9B">
        <w:t>que el</w:t>
      </w:r>
      <w:r>
        <w:t xml:space="preserve"> aumento en pesos representa el equivalente a lo que el salario perdió (a precios de septiembre 2019) en los 15 meses que recorren los meses de Julio 2018 a Setiembre 2019</w:t>
      </w:r>
      <w:r w:rsidR="001A1BA4">
        <w:t xml:space="preserve"> (ver cuadro del Anexo)</w:t>
      </w:r>
      <w:r>
        <w:t>.Debe</w:t>
      </w:r>
      <w:r w:rsidR="00283D9B">
        <w:t xml:space="preserve"> advertirse que </w:t>
      </w:r>
      <w:r w:rsidR="003E5A78">
        <w:t>esta estimación</w:t>
      </w:r>
      <w:r w:rsidR="00125D7B">
        <w:t xml:space="preserve"> </w:t>
      </w:r>
      <w:r w:rsidR="003E5A78">
        <w:t>puede resultar</w:t>
      </w:r>
      <w:r w:rsidR="00283D9B">
        <w:t xml:space="preserve"> un tanto optimista ya que no estamos considerando los</w:t>
      </w:r>
      <w:r>
        <w:t xml:space="preserve"> meses de inflación</w:t>
      </w:r>
      <w:r w:rsidR="00283D9B">
        <w:t>, y por ende</w:t>
      </w:r>
      <w:r w:rsidR="00E92931">
        <w:t>,</w:t>
      </w:r>
      <w:r w:rsidR="00314CEB">
        <w:t xml:space="preserve"> </w:t>
      </w:r>
      <w:r w:rsidR="00E92931">
        <w:t>el</w:t>
      </w:r>
      <w:r w:rsidR="00283D9B">
        <w:t xml:space="preserve"> mayor nivel </w:t>
      </w:r>
      <w:r w:rsidR="003E5A78">
        <w:t>de deterioro</w:t>
      </w:r>
      <w:r w:rsidR="00283D9B">
        <w:t xml:space="preserve"> salarial que </w:t>
      </w:r>
      <w:r w:rsidR="00E92931">
        <w:t>pudo haberse</w:t>
      </w:r>
      <w:r w:rsidR="00314CEB">
        <w:t xml:space="preserve"> </w:t>
      </w:r>
      <w:r w:rsidR="00E92931">
        <w:t>acumulado</w:t>
      </w:r>
      <w:r w:rsidR="00283D9B">
        <w:t xml:space="preserve"> también durante e</w:t>
      </w:r>
      <w:r>
        <w:t>l último trimestre</w:t>
      </w:r>
      <w:r>
        <w:rPr>
          <w:rStyle w:val="Refdenotaalpie"/>
        </w:rPr>
        <w:footnoteReference w:id="4"/>
      </w:r>
      <w:r>
        <w:t>.</w:t>
      </w:r>
    </w:p>
    <w:p w:rsidR="00B14754" w:rsidRDefault="00B14754" w:rsidP="00B14754">
      <w:pPr>
        <w:spacing w:after="0" w:line="240" w:lineRule="auto"/>
        <w:contextualSpacing/>
        <w:mirrorIndents/>
        <w:jc w:val="both"/>
      </w:pPr>
    </w:p>
    <w:p w:rsidR="00B14754" w:rsidRDefault="00B14754" w:rsidP="001A1BA4">
      <w:pPr>
        <w:spacing w:after="0" w:line="240" w:lineRule="auto"/>
        <w:ind w:firstLine="708"/>
        <w:contextualSpacing/>
        <w:mirrorIndents/>
        <w:jc w:val="both"/>
      </w:pPr>
      <w:r>
        <w:t xml:space="preserve">Realizando un ejercicio de proyección </w:t>
      </w:r>
      <w:r w:rsidR="00E92931">
        <w:t>para subsanar en parte lo anterior</w:t>
      </w:r>
      <w:r>
        <w:t xml:space="preserve"> que nos </w:t>
      </w:r>
      <w:r w:rsidR="00E92931">
        <w:t>pueda arrimar</w:t>
      </w:r>
      <w:r>
        <w:t xml:space="preserve"> a la situación </w:t>
      </w:r>
      <w:r w:rsidR="00E92931">
        <w:t>actual (ejercicio realizado en el cuadro Nº 4)</w:t>
      </w:r>
      <w:r>
        <w:t xml:space="preserve"> se concluye que </w:t>
      </w:r>
      <w:r w:rsidRPr="00627EDD">
        <w:rPr>
          <w:b/>
          <w:bCs/>
          <w:i/>
          <w:iCs/>
        </w:rPr>
        <w:t xml:space="preserve">el aumento aquí </w:t>
      </w:r>
      <w:r w:rsidR="00C3234A" w:rsidRPr="00627EDD">
        <w:rPr>
          <w:b/>
          <w:bCs/>
          <w:i/>
          <w:iCs/>
        </w:rPr>
        <w:t>analizado</w:t>
      </w:r>
      <w:r w:rsidRPr="00627EDD">
        <w:rPr>
          <w:b/>
          <w:bCs/>
          <w:i/>
          <w:iCs/>
        </w:rPr>
        <w:t xml:space="preserve"> logra devolverle al salario el poder adquisitivo que éste disponía a principios del año pasado</w:t>
      </w:r>
      <w:r>
        <w:t>. Para este cálculo incluso nos basamos en dos supuestos: 1) que el poder de compra se mantuvo constante en el último trimestre del 2019 y 2) que la tasa mensual de inflación de los dos</w:t>
      </w:r>
      <w:r w:rsidR="00125D7B">
        <w:t xml:space="preserve"> primeros meses del año 2020 </w:t>
      </w:r>
      <w:r w:rsidR="00314CEB">
        <w:t>será</w:t>
      </w:r>
      <w:r>
        <w:t xml:space="preserve"> del 2%.</w:t>
      </w:r>
    </w:p>
    <w:p w:rsidR="00B14754" w:rsidRDefault="00B14754" w:rsidP="00B14754">
      <w:pPr>
        <w:spacing w:after="0" w:line="240" w:lineRule="auto"/>
        <w:contextualSpacing/>
        <w:mirrorIndents/>
        <w:jc w:val="both"/>
      </w:pPr>
    </w:p>
    <w:p w:rsidR="00B14754" w:rsidRDefault="00B14754" w:rsidP="00B14754">
      <w:pPr>
        <w:spacing w:after="0" w:line="240" w:lineRule="auto"/>
        <w:ind w:left="-851" w:firstLine="851"/>
        <w:contextualSpacing/>
        <w:mirrorIndents/>
        <w:jc w:val="both"/>
      </w:pPr>
    </w:p>
    <w:p w:rsidR="00B14754" w:rsidRDefault="00B14754" w:rsidP="00B14754">
      <w:pPr>
        <w:spacing w:after="0" w:line="240" w:lineRule="auto"/>
        <w:contextualSpacing/>
        <w:mirrorIndents/>
        <w:jc w:val="both"/>
        <w:rPr>
          <w:b/>
        </w:rPr>
      </w:pPr>
      <w:r>
        <w:rPr>
          <w:b/>
        </w:rPr>
        <w:t>C</w:t>
      </w:r>
      <w:r w:rsidRPr="00A41E8E">
        <w:rPr>
          <w:b/>
        </w:rPr>
        <w:t xml:space="preserve">uadro Nº </w:t>
      </w:r>
      <w:r>
        <w:rPr>
          <w:b/>
        </w:rPr>
        <w:t>4</w:t>
      </w:r>
      <w:r w:rsidRPr="00A41E8E">
        <w:rPr>
          <w:b/>
        </w:rPr>
        <w:t>:</w:t>
      </w:r>
      <w:r>
        <w:rPr>
          <w:b/>
        </w:rPr>
        <w:t xml:space="preserve"> Estimación de la evolución real del salario del sector privado registrados a febrero 2020.</w:t>
      </w:r>
    </w:p>
    <w:p w:rsidR="00B14754" w:rsidRDefault="00B14754" w:rsidP="00B14754">
      <w:pPr>
        <w:spacing w:after="0" w:line="240" w:lineRule="auto"/>
        <w:ind w:left="-851" w:firstLine="851"/>
        <w:contextualSpacing/>
        <w:mirrorIndents/>
        <w:jc w:val="both"/>
      </w:pPr>
    </w:p>
    <w:p w:rsidR="00B14754" w:rsidRDefault="00B14754" w:rsidP="00B14754">
      <w:pPr>
        <w:spacing w:after="0" w:line="240" w:lineRule="auto"/>
        <w:ind w:left="-851" w:firstLine="851"/>
        <w:contextualSpacing/>
        <w:mirrorIndents/>
        <w:jc w:val="both"/>
      </w:pPr>
      <w:r w:rsidRPr="00563FCF">
        <w:rPr>
          <w:noProof/>
          <w:lang w:val="es-AR" w:eastAsia="es-AR"/>
        </w:rPr>
        <w:drawing>
          <wp:inline distT="0" distB="0" distL="0" distR="0">
            <wp:extent cx="5400675" cy="2314575"/>
            <wp:effectExtent l="19050" t="0" r="952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00675" cy="2314575"/>
                    </a:xfrm>
                    <a:prstGeom prst="rect">
                      <a:avLst/>
                    </a:prstGeom>
                    <a:noFill/>
                    <a:ln w="9525">
                      <a:noFill/>
                      <a:miter lim="800000"/>
                      <a:headEnd/>
                      <a:tailEnd/>
                    </a:ln>
                  </pic:spPr>
                </pic:pic>
              </a:graphicData>
            </a:graphic>
          </wp:inline>
        </w:drawing>
      </w:r>
    </w:p>
    <w:p w:rsidR="00B14754" w:rsidRPr="004844FD" w:rsidRDefault="00B14754" w:rsidP="00B14754">
      <w:pPr>
        <w:spacing w:after="0" w:line="240" w:lineRule="auto"/>
        <w:ind w:left="142"/>
        <w:contextualSpacing/>
        <w:mirrorIndents/>
        <w:jc w:val="both"/>
        <w:rPr>
          <w:sz w:val="20"/>
          <w:szCs w:val="20"/>
        </w:rPr>
      </w:pPr>
      <w:r w:rsidRPr="004844FD">
        <w:rPr>
          <w:sz w:val="20"/>
          <w:szCs w:val="20"/>
        </w:rPr>
        <w:t xml:space="preserve">*Se supone una evolución real constante / en </w:t>
      </w:r>
      <w:r w:rsidR="00AD21A2" w:rsidRPr="004844FD">
        <w:rPr>
          <w:sz w:val="20"/>
          <w:szCs w:val="20"/>
        </w:rPr>
        <w:t>enero</w:t>
      </w:r>
      <w:r w:rsidRPr="004844FD">
        <w:rPr>
          <w:sz w:val="20"/>
          <w:szCs w:val="20"/>
        </w:rPr>
        <w:t xml:space="preserve"> y </w:t>
      </w:r>
      <w:r w:rsidR="00AD21A2">
        <w:rPr>
          <w:sz w:val="20"/>
          <w:szCs w:val="20"/>
        </w:rPr>
        <w:t>f</w:t>
      </w:r>
      <w:r w:rsidRPr="004844FD">
        <w:rPr>
          <w:sz w:val="20"/>
          <w:szCs w:val="20"/>
        </w:rPr>
        <w:t>ebrero 2020 en la columna "Con Aumento de Suma Fija" se incorporaron los $3000 y $1000</w:t>
      </w:r>
      <w:r>
        <w:rPr>
          <w:sz w:val="20"/>
          <w:szCs w:val="20"/>
        </w:rPr>
        <w:t>. Fuente: Elaboración propia en base a OEDE.</w:t>
      </w:r>
    </w:p>
    <w:p w:rsidR="00B14754" w:rsidRDefault="00B14754" w:rsidP="00B14754">
      <w:pPr>
        <w:spacing w:after="0" w:line="240" w:lineRule="auto"/>
        <w:ind w:left="-851"/>
        <w:contextualSpacing/>
        <w:mirrorIndents/>
        <w:jc w:val="both"/>
      </w:pPr>
      <w:r>
        <w:tab/>
      </w:r>
    </w:p>
    <w:p w:rsidR="00C276DB" w:rsidRDefault="00C276DB" w:rsidP="00C276DB">
      <w:pPr>
        <w:spacing w:after="0" w:line="240" w:lineRule="auto"/>
        <w:contextualSpacing/>
        <w:mirrorIndents/>
        <w:jc w:val="both"/>
      </w:pPr>
      <w:r>
        <w:tab/>
      </w:r>
    </w:p>
    <w:p w:rsidR="00B14754" w:rsidRDefault="00173C8A" w:rsidP="00C276DB">
      <w:pPr>
        <w:spacing w:after="0" w:line="240" w:lineRule="auto"/>
        <w:contextualSpacing/>
        <w:mirrorIndents/>
        <w:jc w:val="both"/>
      </w:pPr>
      <w:r>
        <w:t>Por lo tanto, r</w:t>
      </w:r>
      <w:r w:rsidR="00B14754">
        <w:t>esulta auspicio</w:t>
      </w:r>
      <w:r w:rsidR="00125D7B">
        <w:t>so</w:t>
      </w:r>
      <w:r>
        <w:t xml:space="preserve"> el aumento establecido</w:t>
      </w:r>
      <w:r w:rsidR="00B14754">
        <w:t xml:space="preserve"> ante </w:t>
      </w:r>
      <w:r>
        <w:t>un cuadro de</w:t>
      </w:r>
      <w:r w:rsidR="00B14754">
        <w:t xml:space="preserve"> emergencia salarial</w:t>
      </w:r>
      <w:r w:rsidR="00125D7B">
        <w:t xml:space="preserve"> como el vigente, que favorece</w:t>
      </w:r>
      <w:r>
        <w:t xml:space="preserve"> especialmente a los trabajadores de los</w:t>
      </w:r>
      <w:r w:rsidR="00B14754">
        <w:t xml:space="preserve"> tramos de menores salarios de manera inmediata </w:t>
      </w:r>
      <w:r w:rsidR="00E92E92">
        <w:t>y al mismo tiempo establece</w:t>
      </w:r>
      <w:r>
        <w:t xml:space="preserve"> un piso para </w:t>
      </w:r>
      <w:r w:rsidR="00E92E92">
        <w:t xml:space="preserve">la </w:t>
      </w:r>
      <w:r>
        <w:t>negociación colectiva</w:t>
      </w:r>
      <w:r w:rsidR="00B14754">
        <w:t xml:space="preserve">. </w:t>
      </w:r>
      <w:r>
        <w:t xml:space="preserve">Asimismo, </w:t>
      </w:r>
      <w:r w:rsidR="00C406D7">
        <w:t xml:space="preserve">es una clara señal por parte del gobierno sobre la centralidad que el salario tiene en los procesos de reactivación del consumo popular y de </w:t>
      </w:r>
      <w:r w:rsidR="002C5F09">
        <w:t xml:space="preserve">recomposición de </w:t>
      </w:r>
      <w:r w:rsidR="00C406D7">
        <w:t>la actividad económica.</w:t>
      </w:r>
    </w:p>
    <w:p w:rsidR="00B14754" w:rsidRDefault="00B14754" w:rsidP="00B14754">
      <w:pPr>
        <w:spacing w:after="0" w:line="240" w:lineRule="auto"/>
        <w:contextualSpacing/>
        <w:mirrorIndents/>
        <w:jc w:val="both"/>
      </w:pPr>
      <w:bookmarkStart w:id="0" w:name="_GoBack"/>
      <w:bookmarkEnd w:id="0"/>
    </w:p>
    <w:p w:rsidR="00381349" w:rsidRDefault="00080A00" w:rsidP="00B14754">
      <w:pPr>
        <w:spacing w:after="0" w:line="240" w:lineRule="auto"/>
        <w:contextualSpacing/>
        <w:mirrorIndents/>
        <w:jc w:val="both"/>
      </w:pPr>
      <w:r>
        <w:tab/>
        <w:t xml:space="preserve">Desde la asunción del nuevo gobierno, la transferencia de ingresos </w:t>
      </w:r>
      <w:r w:rsidR="00F25733">
        <w:t xml:space="preserve">hacia los sectores populares </w:t>
      </w:r>
      <w:r>
        <w:t xml:space="preserve">alcanza un total de $425.565 millones que se compone, por un lado, por el esquema de los bonos extraordinarios destinado a las jubilaciones y asignaciones </w:t>
      </w:r>
      <w:r w:rsidR="00787ED4">
        <w:t>universales,</w:t>
      </w:r>
      <w:r>
        <w:t xml:space="preserve"> así como también </w:t>
      </w:r>
      <w:r w:rsidR="00F25733">
        <w:t>las tarjetas alimentarias distribuidas</w:t>
      </w:r>
      <w:r w:rsidR="00787ED4">
        <w:t xml:space="preserve"> que afronta el sector público nacional a través un aumento del gasto social. Y</w:t>
      </w:r>
      <w:r w:rsidR="00F25733">
        <w:t xml:space="preserve"> por otra parte, la fase de aumento salarial que hasta el momento </w:t>
      </w:r>
      <w:r w:rsidR="00787ED4">
        <w:t>queda establecida para el sector privado e implicará, en la medida que no sea neutralizada por aumentos posteriores en los precios, un avance en la puja distributiva a favor de los trabajadores por $251.964 millones.</w:t>
      </w:r>
    </w:p>
    <w:p w:rsidR="00381349" w:rsidRDefault="00381349" w:rsidP="00B14754">
      <w:pPr>
        <w:spacing w:after="0" w:line="240" w:lineRule="auto"/>
        <w:contextualSpacing/>
        <w:mirrorIndents/>
        <w:jc w:val="both"/>
      </w:pPr>
    </w:p>
    <w:p w:rsidR="00080A00" w:rsidRDefault="00381349" w:rsidP="00B14754">
      <w:pPr>
        <w:spacing w:after="0" w:line="240" w:lineRule="auto"/>
        <w:contextualSpacing/>
        <w:mirrorIndents/>
        <w:jc w:val="both"/>
      </w:pPr>
      <w:r>
        <w:tab/>
        <w:t xml:space="preserve">En conjunto, la </w:t>
      </w:r>
      <w:r w:rsidR="002C5F09">
        <w:t>redistribución hasta ahora anunciada equivale al 1,9% del PBI con una incidencia en el consumo interno del 2,9%.</w:t>
      </w:r>
    </w:p>
    <w:p w:rsidR="00080A00" w:rsidRDefault="00080A00" w:rsidP="00B14754">
      <w:pPr>
        <w:spacing w:after="0" w:line="240" w:lineRule="auto"/>
        <w:contextualSpacing/>
        <w:mirrorIndents/>
        <w:jc w:val="both"/>
      </w:pPr>
    </w:p>
    <w:p w:rsidR="00EE4D57" w:rsidRDefault="00EE4D57" w:rsidP="00EE4D57">
      <w:pPr>
        <w:spacing w:after="0" w:line="240" w:lineRule="auto"/>
        <w:contextualSpacing/>
        <w:mirrorIndents/>
        <w:jc w:val="both"/>
        <w:rPr>
          <w:b/>
        </w:rPr>
      </w:pPr>
    </w:p>
    <w:p w:rsidR="00080A00" w:rsidRPr="00EE4D57" w:rsidRDefault="00EE4D57" w:rsidP="00B14754">
      <w:pPr>
        <w:spacing w:after="0" w:line="240" w:lineRule="auto"/>
        <w:contextualSpacing/>
        <w:mirrorIndents/>
        <w:jc w:val="both"/>
        <w:rPr>
          <w:b/>
        </w:rPr>
      </w:pPr>
      <w:r>
        <w:rPr>
          <w:b/>
        </w:rPr>
        <w:t>C</w:t>
      </w:r>
      <w:r w:rsidRPr="00A41E8E">
        <w:rPr>
          <w:b/>
        </w:rPr>
        <w:t xml:space="preserve">uadro Nº </w:t>
      </w:r>
      <w:r>
        <w:rPr>
          <w:b/>
        </w:rPr>
        <w:t>5</w:t>
      </w:r>
      <w:r w:rsidR="00314CEB" w:rsidRPr="00A41E8E">
        <w:rPr>
          <w:b/>
        </w:rPr>
        <w:t>:</w:t>
      </w:r>
      <w:r w:rsidR="00314CEB">
        <w:rPr>
          <w:b/>
        </w:rPr>
        <w:t xml:space="preserve"> Detalle</w:t>
      </w:r>
      <w:r>
        <w:rPr>
          <w:b/>
        </w:rPr>
        <w:t xml:space="preserve"> de las medidas destinadas a la transferencia directa de ingresos a la población. Estimación de la transferencia en millones de pesos (anual).</w:t>
      </w:r>
    </w:p>
    <w:p w:rsidR="00B051FD" w:rsidRDefault="00B051FD" w:rsidP="00B14754">
      <w:pPr>
        <w:spacing w:after="0" w:line="240" w:lineRule="auto"/>
        <w:contextualSpacing/>
        <w:mirrorIndents/>
        <w:jc w:val="both"/>
      </w:pPr>
    </w:p>
    <w:p w:rsidR="00080A00" w:rsidRDefault="00080A00" w:rsidP="00B14754">
      <w:pPr>
        <w:spacing w:after="0" w:line="240" w:lineRule="auto"/>
        <w:contextualSpacing/>
        <w:mirrorIndents/>
        <w:jc w:val="both"/>
      </w:pPr>
      <w:r w:rsidRPr="00080A00">
        <w:rPr>
          <w:noProof/>
          <w:lang w:val="es-AR" w:eastAsia="es-AR"/>
        </w:rPr>
        <w:drawing>
          <wp:inline distT="0" distB="0" distL="0" distR="0">
            <wp:extent cx="6205515" cy="12113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262530" cy="1222515"/>
                    </a:xfrm>
                    <a:prstGeom prst="rect">
                      <a:avLst/>
                    </a:prstGeom>
                  </pic:spPr>
                </pic:pic>
              </a:graphicData>
            </a:graphic>
          </wp:inline>
        </w:drawing>
      </w:r>
    </w:p>
    <w:p w:rsidR="00080A00" w:rsidRDefault="00080A00" w:rsidP="00B14754">
      <w:pPr>
        <w:spacing w:after="0" w:line="240" w:lineRule="auto"/>
        <w:contextualSpacing/>
        <w:mirrorIndents/>
        <w:jc w:val="both"/>
      </w:pPr>
    </w:p>
    <w:p w:rsidR="00EE4D57" w:rsidRPr="00EE4D57" w:rsidRDefault="00EE4D57" w:rsidP="00EE4D57">
      <w:pPr>
        <w:spacing w:after="0" w:line="240" w:lineRule="auto"/>
        <w:contextualSpacing/>
        <w:mirrorIndents/>
        <w:jc w:val="both"/>
        <w:rPr>
          <w:b/>
        </w:rPr>
      </w:pPr>
      <w:r>
        <w:rPr>
          <w:b/>
        </w:rPr>
        <w:t>C</w:t>
      </w:r>
      <w:r w:rsidRPr="00A41E8E">
        <w:rPr>
          <w:b/>
        </w:rPr>
        <w:t xml:space="preserve">uadro Nº </w:t>
      </w:r>
      <w:r>
        <w:rPr>
          <w:b/>
        </w:rPr>
        <w:t>6</w:t>
      </w:r>
      <w:r w:rsidR="00314CEB">
        <w:rPr>
          <w:b/>
        </w:rPr>
        <w:t>: Efecto</w:t>
      </w:r>
      <w:r>
        <w:rPr>
          <w:b/>
        </w:rPr>
        <w:t xml:space="preserve"> en el consumo y el PBI de la política de transferencia directa de ingresos a la población. </w:t>
      </w:r>
    </w:p>
    <w:p w:rsidR="0078636E" w:rsidRPr="0078636E" w:rsidRDefault="0078636E" w:rsidP="00B14754">
      <w:pPr>
        <w:spacing w:after="0" w:line="240" w:lineRule="auto"/>
        <w:contextualSpacing/>
        <w:mirrorIndents/>
        <w:jc w:val="both"/>
        <w:rPr>
          <w:highlight w:val="yellow"/>
        </w:rPr>
      </w:pPr>
    </w:p>
    <w:p w:rsidR="00381349" w:rsidRDefault="00C276DB" w:rsidP="004468CF">
      <w:pPr>
        <w:spacing w:after="0" w:line="240" w:lineRule="auto"/>
        <w:contextualSpacing/>
        <w:mirrorIndents/>
        <w:jc w:val="center"/>
        <w:rPr>
          <w:highlight w:val="yellow"/>
        </w:rPr>
      </w:pPr>
      <w:r w:rsidRPr="00C276DB">
        <w:rPr>
          <w:noProof/>
          <w:lang w:val="es-AR" w:eastAsia="es-AR"/>
        </w:rPr>
        <w:drawing>
          <wp:inline distT="0" distB="0" distL="0" distR="0">
            <wp:extent cx="4861169" cy="6000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52432" cy="623684"/>
                    </a:xfrm>
                    <a:prstGeom prst="rect">
                      <a:avLst/>
                    </a:prstGeom>
                  </pic:spPr>
                </pic:pic>
              </a:graphicData>
            </a:graphic>
          </wp:inline>
        </w:drawing>
      </w:r>
    </w:p>
    <w:p w:rsidR="00381349" w:rsidRDefault="00381349" w:rsidP="00B14754">
      <w:pPr>
        <w:spacing w:after="0" w:line="240" w:lineRule="auto"/>
        <w:contextualSpacing/>
        <w:mirrorIndents/>
        <w:jc w:val="both"/>
        <w:rPr>
          <w:highlight w:val="yellow"/>
        </w:rPr>
      </w:pPr>
    </w:p>
    <w:p w:rsidR="00381349" w:rsidRDefault="00381349" w:rsidP="00B14754">
      <w:pPr>
        <w:spacing w:after="0" w:line="240" w:lineRule="auto"/>
        <w:contextualSpacing/>
        <w:mirrorIndents/>
        <w:jc w:val="both"/>
        <w:rPr>
          <w:highlight w:val="yellow"/>
        </w:rPr>
      </w:pPr>
    </w:p>
    <w:p w:rsidR="00B051FD" w:rsidRDefault="00B051FD" w:rsidP="00B14754">
      <w:pPr>
        <w:spacing w:after="0" w:line="240" w:lineRule="auto"/>
        <w:contextualSpacing/>
        <w:mirrorIndents/>
        <w:jc w:val="both"/>
        <w:rPr>
          <w:highlight w:val="yellow"/>
        </w:rPr>
      </w:pPr>
    </w:p>
    <w:p w:rsidR="0078636E" w:rsidRDefault="0078636E" w:rsidP="00B14754">
      <w:pPr>
        <w:spacing w:after="0" w:line="240" w:lineRule="auto"/>
        <w:contextualSpacing/>
        <w:mirrorIndents/>
        <w:jc w:val="both"/>
      </w:pPr>
    </w:p>
    <w:p w:rsidR="004E4A49" w:rsidRDefault="004E4A49" w:rsidP="00B14754">
      <w:pPr>
        <w:spacing w:after="0" w:line="240" w:lineRule="auto"/>
        <w:contextualSpacing/>
        <w:mirrorIndents/>
        <w:jc w:val="both"/>
      </w:pPr>
    </w:p>
    <w:p w:rsidR="004E4A49" w:rsidRDefault="004E4A49" w:rsidP="00B14754">
      <w:pPr>
        <w:spacing w:after="0" w:line="240" w:lineRule="auto"/>
        <w:contextualSpacing/>
        <w:mirrorIndents/>
        <w:jc w:val="both"/>
      </w:pPr>
    </w:p>
    <w:p w:rsidR="004E4A49" w:rsidRDefault="004E4A49" w:rsidP="00B14754">
      <w:pPr>
        <w:spacing w:after="0" w:line="240" w:lineRule="auto"/>
        <w:contextualSpacing/>
        <w:mirrorIndents/>
        <w:jc w:val="both"/>
      </w:pPr>
    </w:p>
    <w:p w:rsidR="004E4A49" w:rsidRDefault="004E4A49" w:rsidP="00B14754">
      <w:pPr>
        <w:spacing w:after="0" w:line="240" w:lineRule="auto"/>
        <w:contextualSpacing/>
        <w:mirrorIndents/>
        <w:jc w:val="both"/>
      </w:pPr>
    </w:p>
    <w:p w:rsidR="004E4A49" w:rsidRDefault="004E4A49" w:rsidP="00B14754">
      <w:pPr>
        <w:spacing w:after="0" w:line="240" w:lineRule="auto"/>
        <w:contextualSpacing/>
        <w:mirrorIndents/>
        <w:jc w:val="both"/>
      </w:pPr>
    </w:p>
    <w:p w:rsidR="004E4A49" w:rsidRDefault="004E4A49" w:rsidP="00B14754">
      <w:pPr>
        <w:spacing w:after="0" w:line="240" w:lineRule="auto"/>
        <w:contextualSpacing/>
        <w:mirrorIndents/>
        <w:jc w:val="both"/>
      </w:pPr>
    </w:p>
    <w:p w:rsidR="004E4A49" w:rsidRDefault="004E4A49" w:rsidP="00B14754">
      <w:pPr>
        <w:spacing w:after="0" w:line="240" w:lineRule="auto"/>
        <w:contextualSpacing/>
        <w:mirrorIndents/>
        <w:jc w:val="both"/>
      </w:pPr>
    </w:p>
    <w:p w:rsidR="004E4A49" w:rsidRPr="004E4A49" w:rsidRDefault="004E4A49" w:rsidP="004E4A49">
      <w:pPr>
        <w:spacing w:after="0" w:line="240" w:lineRule="auto"/>
        <w:contextualSpacing/>
        <w:mirrorIndents/>
        <w:jc w:val="center"/>
        <w:rPr>
          <w:b/>
          <w:u w:val="single"/>
        </w:rPr>
      </w:pPr>
      <w:r w:rsidRPr="004E4A49">
        <w:rPr>
          <w:b/>
          <w:u w:val="single"/>
        </w:rPr>
        <w:t>ANEXO</w:t>
      </w:r>
    </w:p>
    <w:p w:rsidR="004E4A49" w:rsidRDefault="004E4A49" w:rsidP="004E4A49">
      <w:pPr>
        <w:spacing w:after="0" w:line="240" w:lineRule="auto"/>
        <w:contextualSpacing/>
        <w:mirrorIndents/>
        <w:jc w:val="center"/>
      </w:pPr>
    </w:p>
    <w:p w:rsidR="004E4A49" w:rsidRDefault="004E4A49" w:rsidP="004E4A49">
      <w:pPr>
        <w:spacing w:after="0" w:line="240" w:lineRule="auto"/>
        <w:contextualSpacing/>
        <w:mirrorIndents/>
        <w:jc w:val="center"/>
      </w:pPr>
    </w:p>
    <w:p w:rsidR="004E4A49" w:rsidRPr="004E4A49" w:rsidRDefault="004E4A49" w:rsidP="004E4A49">
      <w:pPr>
        <w:spacing w:after="0" w:line="240" w:lineRule="auto"/>
        <w:contextualSpacing/>
        <w:mirrorIndents/>
        <w:jc w:val="both"/>
        <w:rPr>
          <w:b/>
          <w:sz w:val="20"/>
        </w:rPr>
      </w:pPr>
      <w:r>
        <w:rPr>
          <w:b/>
          <w:sz w:val="20"/>
        </w:rPr>
        <w:t>Cuadro Nº 1</w:t>
      </w:r>
      <w:r w:rsidRPr="004E4A49">
        <w:rPr>
          <w:b/>
          <w:sz w:val="20"/>
        </w:rPr>
        <w:t>: Remuneración promedio de los trabajadores registrados del sector privado. Remuneración por todo concepto, remuneración normal y permanente (ajustada - excluyendo aguinaldo y otros conceptos estacionales), a valores corrientes. Serie desestacionalizada – Diciembre 2015 a Septiembre 2019. Total nacional.</w:t>
      </w:r>
    </w:p>
    <w:p w:rsidR="004E4A49" w:rsidRDefault="004E4A49" w:rsidP="004E4A49">
      <w:pPr>
        <w:spacing w:after="0"/>
      </w:pPr>
    </w:p>
    <w:tbl>
      <w:tblPr>
        <w:tblW w:w="8620" w:type="dxa"/>
        <w:tblInd w:w="60" w:type="dxa"/>
        <w:tblCellMar>
          <w:left w:w="70" w:type="dxa"/>
          <w:right w:w="70" w:type="dxa"/>
        </w:tblCellMar>
        <w:tblLook w:val="04A0"/>
      </w:tblPr>
      <w:tblGrid>
        <w:gridCol w:w="1400"/>
        <w:gridCol w:w="1880"/>
        <w:gridCol w:w="1349"/>
        <w:gridCol w:w="1200"/>
        <w:gridCol w:w="1349"/>
        <w:gridCol w:w="1500"/>
      </w:tblGrid>
      <w:tr w:rsidR="004E4A49" w:rsidRPr="00205D81" w:rsidTr="00125D7B">
        <w:trPr>
          <w:trHeight w:val="1335"/>
        </w:trPr>
        <w:tc>
          <w:tcPr>
            <w:tcW w:w="3280" w:type="dxa"/>
            <w:gridSpan w:val="2"/>
            <w:tcBorders>
              <w:top w:val="single" w:sz="8" w:space="0" w:color="auto"/>
              <w:left w:val="single" w:sz="8" w:space="0" w:color="auto"/>
              <w:bottom w:val="single" w:sz="8" w:space="0" w:color="auto"/>
              <w:right w:val="single" w:sz="8" w:space="0" w:color="000000"/>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Período</w:t>
            </w:r>
          </w:p>
        </w:tc>
        <w:tc>
          <w:tcPr>
            <w:tcW w:w="1320" w:type="dxa"/>
            <w:tcBorders>
              <w:top w:val="single" w:sz="8" w:space="0" w:color="auto"/>
              <w:left w:val="nil"/>
              <w:bottom w:val="single" w:sz="8" w:space="0" w:color="auto"/>
              <w:right w:val="nil"/>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Remuneración</w:t>
            </w:r>
            <w:r w:rsidRPr="00205D81">
              <w:rPr>
                <w:rFonts w:ascii="Calibri" w:eastAsia="Times New Roman" w:hAnsi="Calibri" w:cs="Calibri"/>
                <w:b/>
                <w:bCs/>
                <w:color w:val="FFFFFF"/>
                <w:sz w:val="20"/>
                <w:szCs w:val="20"/>
                <w:u w:val="single"/>
              </w:rPr>
              <w:t xml:space="preserve"> </w:t>
            </w:r>
            <w:r w:rsidRPr="00205D81">
              <w:rPr>
                <w:rFonts w:ascii="Calibri" w:eastAsia="Times New Roman" w:hAnsi="Calibri" w:cs="Calibri"/>
                <w:b/>
                <w:bCs/>
                <w:color w:val="FFFFFF"/>
                <w:sz w:val="20"/>
                <w:szCs w:val="20"/>
                <w:u w:val="single"/>
              </w:rPr>
              <w:br/>
              <w:t>Nominal</w:t>
            </w:r>
            <w:r w:rsidRPr="00205D81">
              <w:rPr>
                <w:rFonts w:ascii="Calibri" w:eastAsia="Times New Roman" w:hAnsi="Calibri" w:cs="Calibri"/>
                <w:b/>
                <w:bCs/>
                <w:color w:val="FFFFFF"/>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IPC</w:t>
            </w:r>
            <w:r w:rsidRPr="00205D81">
              <w:rPr>
                <w:rFonts w:ascii="Calibri" w:eastAsia="Times New Roman" w:hAnsi="Calibri" w:cs="Calibri"/>
                <w:b/>
                <w:bCs/>
                <w:color w:val="FFFFFF"/>
                <w:sz w:val="20"/>
                <w:szCs w:val="20"/>
              </w:rPr>
              <w:br/>
              <w:t>Base 100= Sep.19</w:t>
            </w:r>
          </w:p>
        </w:tc>
        <w:tc>
          <w:tcPr>
            <w:tcW w:w="1320" w:type="dxa"/>
            <w:tcBorders>
              <w:top w:val="single" w:sz="8" w:space="0" w:color="auto"/>
              <w:left w:val="nil"/>
              <w:bottom w:val="single" w:sz="8" w:space="0" w:color="auto"/>
              <w:right w:val="nil"/>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 xml:space="preserve">Remuneración </w:t>
            </w:r>
            <w:r w:rsidRPr="00205D81">
              <w:rPr>
                <w:rFonts w:ascii="Calibri" w:eastAsia="Times New Roman" w:hAnsi="Calibri" w:cs="Calibri"/>
                <w:b/>
                <w:bCs/>
                <w:color w:val="FFFFFF"/>
                <w:sz w:val="20"/>
                <w:szCs w:val="20"/>
              </w:rPr>
              <w:br/>
            </w:r>
            <w:r w:rsidRPr="00205D81">
              <w:rPr>
                <w:rFonts w:ascii="Calibri" w:eastAsia="Times New Roman" w:hAnsi="Calibri" w:cs="Calibri"/>
                <w:b/>
                <w:bCs/>
                <w:color w:val="FFFFFF"/>
                <w:sz w:val="20"/>
                <w:szCs w:val="20"/>
                <w:u w:val="single"/>
              </w:rPr>
              <w:t xml:space="preserve">Real </w:t>
            </w:r>
            <w:r w:rsidRPr="00205D81">
              <w:rPr>
                <w:rFonts w:ascii="Calibri" w:eastAsia="Times New Roman" w:hAnsi="Calibri" w:cs="Calibri"/>
                <w:b/>
                <w:bCs/>
                <w:color w:val="FFFFFF"/>
                <w:sz w:val="20"/>
                <w:szCs w:val="20"/>
              </w:rPr>
              <w:br/>
              <w:t xml:space="preserve">(A precios de </w:t>
            </w:r>
            <w:r w:rsidRPr="00205D81">
              <w:rPr>
                <w:rFonts w:ascii="Calibri" w:eastAsia="Times New Roman" w:hAnsi="Calibri" w:cs="Calibri"/>
                <w:b/>
                <w:bCs/>
                <w:color w:val="FFFFFF"/>
                <w:sz w:val="20"/>
                <w:szCs w:val="20"/>
              </w:rPr>
              <w:br/>
              <w:t>Sep. 2019)</w:t>
            </w:r>
          </w:p>
        </w:tc>
        <w:tc>
          <w:tcPr>
            <w:tcW w:w="1500" w:type="dxa"/>
            <w:tcBorders>
              <w:top w:val="single" w:sz="8" w:space="0" w:color="auto"/>
              <w:left w:val="single" w:sz="8" w:space="0" w:color="auto"/>
              <w:bottom w:val="single" w:sz="8" w:space="0" w:color="auto"/>
              <w:right w:val="single" w:sz="8" w:space="0" w:color="auto"/>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 xml:space="preserve">Pérdida mensual </w:t>
            </w:r>
            <w:r w:rsidRPr="00205D81">
              <w:rPr>
                <w:rFonts w:ascii="Calibri" w:eastAsia="Times New Roman" w:hAnsi="Calibri" w:cs="Calibri"/>
                <w:b/>
                <w:bCs/>
                <w:color w:val="FFFFFF"/>
                <w:sz w:val="20"/>
                <w:szCs w:val="20"/>
              </w:rPr>
              <w:br/>
              <w:t xml:space="preserve"> </w:t>
            </w:r>
            <w:r w:rsidRPr="00205D81">
              <w:rPr>
                <w:rFonts w:ascii="Calibri" w:eastAsia="Times New Roman" w:hAnsi="Calibri" w:cs="Calibri"/>
                <w:b/>
                <w:bCs/>
                <w:color w:val="FFFFFF"/>
                <w:sz w:val="20"/>
                <w:szCs w:val="20"/>
                <w:u w:val="single"/>
              </w:rPr>
              <w:t>Real</w:t>
            </w:r>
            <w:r w:rsidRPr="00205D81">
              <w:rPr>
                <w:rFonts w:ascii="Calibri" w:eastAsia="Times New Roman" w:hAnsi="Calibri" w:cs="Calibri"/>
                <w:b/>
                <w:bCs/>
                <w:color w:val="FFFFFF"/>
                <w:sz w:val="20"/>
                <w:szCs w:val="20"/>
              </w:rPr>
              <w:br/>
              <w:t>(A precios de</w:t>
            </w:r>
            <w:r w:rsidRPr="00205D81">
              <w:rPr>
                <w:rFonts w:ascii="Calibri" w:eastAsia="Times New Roman" w:hAnsi="Calibri" w:cs="Calibri"/>
                <w:b/>
                <w:bCs/>
                <w:color w:val="FFFFFF"/>
                <w:sz w:val="20"/>
                <w:szCs w:val="20"/>
              </w:rPr>
              <w:br/>
              <w:t xml:space="preserve"> Sep. 2019)</w:t>
            </w:r>
          </w:p>
        </w:tc>
      </w:tr>
      <w:tr w:rsidR="004E4A49" w:rsidRPr="00205D81" w:rsidTr="00125D7B">
        <w:trPr>
          <w:trHeight w:val="31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2015</w:t>
            </w:r>
          </w:p>
        </w:tc>
        <w:tc>
          <w:tcPr>
            <w:tcW w:w="188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2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$ 15.809,4</w:t>
            </w:r>
          </w:p>
        </w:tc>
        <w:tc>
          <w:tcPr>
            <w:tcW w:w="1200" w:type="dxa"/>
            <w:tcBorders>
              <w:top w:val="nil"/>
              <w:left w:val="nil"/>
              <w:bottom w:val="nil"/>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28,3</w:t>
            </w:r>
          </w:p>
        </w:tc>
        <w:tc>
          <w:tcPr>
            <w:tcW w:w="132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$ 55.895,9</w:t>
            </w:r>
          </w:p>
        </w:tc>
        <w:tc>
          <w:tcPr>
            <w:tcW w:w="15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w:t>
            </w:r>
          </w:p>
        </w:tc>
      </w:tr>
      <w:tr w:rsidR="004E4A49" w:rsidRPr="00205D81" w:rsidTr="00125D7B">
        <w:trPr>
          <w:trHeight w:val="255"/>
        </w:trPr>
        <w:tc>
          <w:tcPr>
            <w:tcW w:w="1400" w:type="dxa"/>
            <w:vMerge w:val="restart"/>
            <w:tcBorders>
              <w:top w:val="nil"/>
              <w:left w:val="single" w:sz="8" w:space="0" w:color="auto"/>
              <w:bottom w:val="nil"/>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2016</w:t>
            </w: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$ 16.004,0</w:t>
            </w:r>
          </w:p>
        </w:tc>
        <w:tc>
          <w:tcPr>
            <w:tcW w:w="1200" w:type="dxa"/>
            <w:tcBorders>
              <w:top w:val="single" w:sz="8" w:space="0" w:color="auto"/>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29,5</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$ 54.336,0</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-$ 1.559,9</w:t>
            </w:r>
          </w:p>
        </w:tc>
      </w:tr>
      <w:tr w:rsidR="004E4A49" w:rsidRPr="00205D81" w:rsidTr="00125D7B">
        <w:trPr>
          <w:trHeight w:val="255"/>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$ 16.171,3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30,6</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$ 52.807,5</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-$ 1.528,5</w:t>
            </w:r>
          </w:p>
        </w:tc>
      </w:tr>
      <w:tr w:rsidR="004E4A49" w:rsidRPr="00205D81" w:rsidTr="00125D7B">
        <w:trPr>
          <w:trHeight w:val="255"/>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Marzo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$ 16.880,4</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31,6</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$ 53.353,0</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$ 545,4</w:t>
            </w:r>
          </w:p>
        </w:tc>
      </w:tr>
      <w:tr w:rsidR="004E4A49" w:rsidRPr="00205D81" w:rsidTr="00125D7B">
        <w:trPr>
          <w:trHeight w:val="255"/>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Abril</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$ 17.540,2</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33,7</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$ 52.032,8</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-$ 1.320,2</w:t>
            </w:r>
          </w:p>
        </w:tc>
      </w:tr>
      <w:tr w:rsidR="004E4A49" w:rsidRPr="00205D81" w:rsidTr="00125D7B">
        <w:trPr>
          <w:trHeight w:val="255"/>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Mayo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$ 17.985,9</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35,1</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$ 51.207,6</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-$ 825,2</w:t>
            </w:r>
          </w:p>
        </w:tc>
      </w:tr>
      <w:tr w:rsidR="004E4A49" w:rsidRPr="00205D81" w:rsidTr="00125D7B">
        <w:trPr>
          <w:trHeight w:val="270"/>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Junio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$ 18.334,4</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36,2</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$ 50.642,3</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-$ 565,3</w:t>
            </w:r>
          </w:p>
        </w:tc>
      </w:tr>
      <w:tr w:rsidR="004E4A49" w:rsidRPr="00205D81" w:rsidTr="00125D7B">
        <w:trPr>
          <w:trHeight w:val="270"/>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Julio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$ 18.806,1</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36,9</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$ 50.903,3</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$ 261,0</w:t>
            </w:r>
          </w:p>
        </w:tc>
      </w:tr>
      <w:tr w:rsidR="004E4A49" w:rsidRPr="00205D81" w:rsidTr="00125D7B">
        <w:trPr>
          <w:trHeight w:val="270"/>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Agosto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$ 19.298,7</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37,0</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$ 52.131,2</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$ 1.227,9</w:t>
            </w:r>
          </w:p>
        </w:tc>
      </w:tr>
      <w:tr w:rsidR="004E4A49" w:rsidRPr="00205D81" w:rsidTr="00125D7B">
        <w:trPr>
          <w:trHeight w:val="255"/>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Septiembre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$ 19.529,6</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37,4</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$ 52.155,7</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$ 24,5</w:t>
            </w:r>
          </w:p>
        </w:tc>
      </w:tr>
      <w:tr w:rsidR="004E4A49" w:rsidRPr="00205D81" w:rsidTr="00125D7B">
        <w:trPr>
          <w:trHeight w:val="255"/>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Octubre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$ 20.176,5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38,3</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$ 52.641,2</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$ 485,5</w:t>
            </w:r>
          </w:p>
        </w:tc>
      </w:tr>
      <w:tr w:rsidR="004E4A49" w:rsidRPr="00205D81" w:rsidTr="00125D7B">
        <w:trPr>
          <w:trHeight w:val="255"/>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Noviembre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$ 20.665,5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38,9</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$ 53.058,3</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$ 417,0</w:t>
            </w:r>
          </w:p>
        </w:tc>
      </w:tr>
      <w:tr w:rsidR="004E4A49" w:rsidRPr="00205D81" w:rsidTr="00125D7B">
        <w:trPr>
          <w:trHeight w:val="270"/>
        </w:trPr>
        <w:tc>
          <w:tcPr>
            <w:tcW w:w="140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2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$ 21.298,6</w:t>
            </w:r>
          </w:p>
        </w:tc>
        <w:tc>
          <w:tcPr>
            <w:tcW w:w="1200" w:type="dxa"/>
            <w:tcBorders>
              <w:top w:val="nil"/>
              <w:left w:val="nil"/>
              <w:bottom w:val="single" w:sz="8"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39,4</w:t>
            </w:r>
          </w:p>
        </w:tc>
        <w:tc>
          <w:tcPr>
            <w:tcW w:w="132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$ 54.036,6</w:t>
            </w:r>
          </w:p>
        </w:tc>
        <w:tc>
          <w:tcPr>
            <w:tcW w:w="15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$ 978,3</w:t>
            </w:r>
          </w:p>
        </w:tc>
      </w:tr>
      <w:tr w:rsidR="004E4A49" w:rsidRPr="00205D81" w:rsidTr="00125D7B">
        <w:trPr>
          <w:trHeight w:val="255"/>
        </w:trPr>
        <w:tc>
          <w:tcPr>
            <w:tcW w:w="140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2017</w:t>
            </w: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$ 21.871,3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40,0</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$ 54.623,3</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$ 586,7</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$ 22.195,9</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40,9</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$ 54.311,5</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-$ 311,9</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Marzo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$ 22.475,6</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41,8</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$ 53.720,4</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-$ 591,1</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Abril</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$ 22.761,6</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42,9</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$ 52.996,4</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-$ 724,0</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Mayo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$ 23.058,3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43,6</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$ 52.927,8</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-$ 68,6</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Junio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$ 23.859,7</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44,1</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$ 54.122,3</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$ 1.194,5</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Julio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$ 24.561,3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44,8</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$ 54.765,0</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$ 642,7</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Agosto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$ 24.863,0</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45,5</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$ 54.670,5</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-$ 94,5</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Septiembre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$ 25.217,4</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46,3</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$ 54.417,0</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-$ 253,5</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Octubre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$ 25.701,4</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47,0</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$ 54.633,9</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$ 216,9</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Noviembre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$ 26.013,3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47,7</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$ 54.546,8</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-$ 87,1</w:t>
            </w:r>
          </w:p>
        </w:tc>
      </w:tr>
      <w:tr w:rsidR="004E4A49" w:rsidRPr="00205D81" w:rsidTr="00125D7B">
        <w:trPr>
          <w:trHeight w:val="270"/>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2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$ 26.452,4</w:t>
            </w:r>
          </w:p>
        </w:tc>
        <w:tc>
          <w:tcPr>
            <w:tcW w:w="1200" w:type="dxa"/>
            <w:tcBorders>
              <w:top w:val="nil"/>
              <w:left w:val="nil"/>
              <w:bottom w:val="single" w:sz="8"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49,2</w:t>
            </w:r>
          </w:p>
        </w:tc>
        <w:tc>
          <w:tcPr>
            <w:tcW w:w="132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$ 53.778,0</w:t>
            </w:r>
          </w:p>
        </w:tc>
        <w:tc>
          <w:tcPr>
            <w:tcW w:w="15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-$ 768,9</w:t>
            </w:r>
          </w:p>
        </w:tc>
      </w:tr>
      <w:tr w:rsidR="004E4A49" w:rsidRPr="00205D81" w:rsidTr="00125D7B">
        <w:trPr>
          <w:trHeight w:val="255"/>
        </w:trPr>
        <w:tc>
          <w:tcPr>
            <w:tcW w:w="140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2018</w:t>
            </w: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$ 27.059,0</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50,1</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$ 54.061,2</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$ 283,2</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$ 27.567,0</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51,3</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$ 53.775,1</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-$ 286,1</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Marzo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$ 28.013,5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52,5</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$ 53.396,1</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-$ 379,0</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Abril</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$ 28.736,5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53,9</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$ 53.313,9</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-$ 82,1</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Mayo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$ 29.133,2</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55,0</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$ 52.950,9</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-$ 363,0</w:t>
            </w:r>
          </w:p>
        </w:tc>
      </w:tr>
      <w:tr w:rsidR="004E4A49" w:rsidRPr="00205D81" w:rsidTr="00125D7B">
        <w:trPr>
          <w:trHeight w:val="270"/>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Junio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$ 29.789,0</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57,1</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$ 52.192,6</w:t>
            </w:r>
          </w:p>
        </w:tc>
        <w:tc>
          <w:tcPr>
            <w:tcW w:w="1500" w:type="dxa"/>
            <w:tcBorders>
              <w:top w:val="nil"/>
              <w:left w:val="nil"/>
              <w:bottom w:val="nil"/>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-$ 758,3</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Julio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$ 30.211,9</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58,8</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$ 51.341,2</w:t>
            </w:r>
          </w:p>
        </w:tc>
        <w:tc>
          <w:tcPr>
            <w:tcW w:w="1500" w:type="dxa"/>
            <w:tcBorders>
              <w:top w:val="dashed" w:sz="8" w:space="0" w:color="C00000"/>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-$ 851,4</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Agosto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$ 31.260,6</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61,1</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$ 51.134,6</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-$ 206,6</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Septiembre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$ 32.259,8</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65,1</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$ 49.532,3</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-$ 1.602,2</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Octubre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$ 33.318,5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68,6</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$ 48.540,8</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-$ 991,5</w:t>
            </w:r>
          </w:p>
        </w:tc>
      </w:tr>
      <w:tr w:rsidR="004E4A49" w:rsidRPr="00205D81" w:rsidTr="00125D7B">
        <w:trPr>
          <w:trHeight w:val="255"/>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Noviembre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$ 35.079,5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70,8</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$ 49.544,1</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$ 1.003,3</w:t>
            </w:r>
          </w:p>
        </w:tc>
      </w:tr>
      <w:tr w:rsidR="004E4A49" w:rsidRPr="00205D81" w:rsidTr="00125D7B">
        <w:trPr>
          <w:trHeight w:val="270"/>
        </w:trPr>
        <w:tc>
          <w:tcPr>
            <w:tcW w:w="140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2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$ 35.545,0</w:t>
            </w:r>
          </w:p>
        </w:tc>
        <w:tc>
          <w:tcPr>
            <w:tcW w:w="1200" w:type="dxa"/>
            <w:tcBorders>
              <w:top w:val="nil"/>
              <w:left w:val="nil"/>
              <w:bottom w:val="single" w:sz="8"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72,6</w:t>
            </w:r>
          </w:p>
        </w:tc>
        <w:tc>
          <w:tcPr>
            <w:tcW w:w="1320" w:type="dxa"/>
            <w:tcBorders>
              <w:top w:val="nil"/>
              <w:left w:val="nil"/>
              <w:bottom w:val="single" w:sz="8"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$ 48.943,7</w:t>
            </w:r>
          </w:p>
        </w:tc>
        <w:tc>
          <w:tcPr>
            <w:tcW w:w="1500" w:type="dxa"/>
            <w:tcBorders>
              <w:top w:val="nil"/>
              <w:left w:val="dashed" w:sz="8" w:space="0" w:color="C00000"/>
              <w:bottom w:val="single" w:sz="8"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-$ 600,3</w:t>
            </w:r>
          </w:p>
        </w:tc>
      </w:tr>
      <w:tr w:rsidR="004E4A49" w:rsidRPr="00205D81" w:rsidTr="00125D7B">
        <w:trPr>
          <w:trHeight w:val="255"/>
        </w:trPr>
        <w:tc>
          <w:tcPr>
            <w:tcW w:w="14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2019</w:t>
            </w: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$ 36.897,0</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74,7</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$ 49.370,6</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$ 426,8</w:t>
            </w:r>
          </w:p>
        </w:tc>
      </w:tr>
      <w:tr w:rsidR="004E4A49" w:rsidRPr="00205D81" w:rsidTr="00125D7B">
        <w:trPr>
          <w:trHeight w:val="255"/>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$ 38.087,9</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77,5</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$ 49.114,5</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-$ 256,0</w:t>
            </w:r>
          </w:p>
        </w:tc>
      </w:tr>
      <w:tr w:rsidR="004E4A49" w:rsidRPr="00205D81" w:rsidTr="00125D7B">
        <w:trPr>
          <w:trHeight w:val="255"/>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Marzo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$ 39.804,3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81,2</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$ 49.033,4</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-$ 81,2</w:t>
            </w:r>
          </w:p>
        </w:tc>
      </w:tr>
      <w:tr w:rsidR="004E4A49" w:rsidRPr="00205D81" w:rsidTr="00125D7B">
        <w:trPr>
          <w:trHeight w:val="255"/>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Abril</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$ 40.384,3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84,0</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$ 48.091,2</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-$ 942,2</w:t>
            </w:r>
          </w:p>
        </w:tc>
      </w:tr>
      <w:tr w:rsidR="004E4A49" w:rsidRPr="00205D81" w:rsidTr="00125D7B">
        <w:trPr>
          <w:trHeight w:val="255"/>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Mayo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$ 41.989,5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86,5</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$ 48.518,6</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$ 427,3</w:t>
            </w:r>
          </w:p>
        </w:tc>
      </w:tr>
      <w:tr w:rsidR="004E4A49" w:rsidRPr="00205D81" w:rsidTr="00125D7B">
        <w:trPr>
          <w:trHeight w:val="255"/>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Junio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$ 43.159,1</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88,9</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$ 48.550,4</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$ 31,8</w:t>
            </w:r>
          </w:p>
        </w:tc>
      </w:tr>
      <w:tr w:rsidR="004E4A49" w:rsidRPr="00205D81" w:rsidTr="00125D7B">
        <w:trPr>
          <w:trHeight w:val="255"/>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Julio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$ 44.542,1</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90,8</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$ 49.028,6</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$ 478,2</w:t>
            </w:r>
          </w:p>
        </w:tc>
      </w:tr>
      <w:tr w:rsidR="004E4A49" w:rsidRPr="00205D81" w:rsidTr="00125D7B">
        <w:trPr>
          <w:trHeight w:val="255"/>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Agosto</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$ 46.260,5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94,4</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$ 48.983,2</w:t>
            </w:r>
          </w:p>
        </w:tc>
        <w:tc>
          <w:tcPr>
            <w:tcW w:w="15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-$ 45,3</w:t>
            </w:r>
          </w:p>
        </w:tc>
      </w:tr>
      <w:tr w:rsidR="004E4A49" w:rsidRPr="00205D81" w:rsidTr="00125D7B">
        <w:trPr>
          <w:trHeight w:val="270"/>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Septiembre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$ 47.816,7</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100,0</w:t>
            </w:r>
          </w:p>
        </w:tc>
        <w:tc>
          <w:tcPr>
            <w:tcW w:w="132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$ 47.816,7</w:t>
            </w:r>
          </w:p>
        </w:tc>
        <w:tc>
          <w:tcPr>
            <w:tcW w:w="1500" w:type="dxa"/>
            <w:tcBorders>
              <w:top w:val="nil"/>
              <w:left w:val="dashed" w:sz="8" w:space="0" w:color="C00000"/>
              <w:bottom w:val="dashed" w:sz="8" w:space="0" w:color="C00000"/>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-$ 1.166,5</w:t>
            </w:r>
          </w:p>
        </w:tc>
      </w:tr>
      <w:tr w:rsidR="004E4A49" w:rsidRPr="00205D81" w:rsidTr="00125D7B">
        <w:trPr>
          <w:trHeight w:val="255"/>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Octubre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r>
      <w:tr w:rsidR="004E4A49" w:rsidRPr="00205D81" w:rsidTr="00125D7B">
        <w:trPr>
          <w:trHeight w:val="255"/>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Noviembre</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32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5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r>
      <w:tr w:rsidR="004E4A49" w:rsidRPr="00205D81" w:rsidTr="00125D7B">
        <w:trPr>
          <w:trHeight w:val="270"/>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88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2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single" w:sz="8"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32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5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r>
      <w:tr w:rsidR="004E4A49" w:rsidRPr="00205D81" w:rsidTr="00125D7B">
        <w:trPr>
          <w:trHeight w:val="255"/>
        </w:trPr>
        <w:tc>
          <w:tcPr>
            <w:tcW w:w="1400" w:type="dxa"/>
            <w:vMerge w:val="restart"/>
            <w:tcBorders>
              <w:top w:val="nil"/>
              <w:left w:val="single" w:sz="8" w:space="0" w:color="auto"/>
              <w:bottom w:val="single" w:sz="8" w:space="0" w:color="000000"/>
              <w:right w:val="single" w:sz="8" w:space="0" w:color="auto"/>
            </w:tcBorders>
            <w:shd w:val="clear" w:color="000000" w:fill="FDE9D9"/>
            <w:noWrap/>
            <w:vAlign w:val="center"/>
            <w:hideMark/>
          </w:tcPr>
          <w:p w:rsidR="004E4A49" w:rsidRPr="00205D81" w:rsidRDefault="004E4A49" w:rsidP="00125D7B">
            <w:pPr>
              <w:spacing w:after="0" w:line="240" w:lineRule="auto"/>
              <w:jc w:val="center"/>
              <w:rPr>
                <w:rFonts w:ascii="Calibri" w:eastAsia="Times New Roman" w:hAnsi="Calibri" w:cs="Calibri"/>
                <w:b/>
                <w:bCs/>
                <w:sz w:val="20"/>
                <w:szCs w:val="20"/>
              </w:rPr>
            </w:pPr>
            <w:r w:rsidRPr="00205D81">
              <w:rPr>
                <w:rFonts w:ascii="Calibri" w:eastAsia="Times New Roman" w:hAnsi="Calibri" w:cs="Calibri"/>
                <w:b/>
                <w:bCs/>
                <w:sz w:val="20"/>
                <w:szCs w:val="20"/>
              </w:rPr>
              <w:t>2020</w:t>
            </w:r>
          </w:p>
        </w:tc>
        <w:tc>
          <w:tcPr>
            <w:tcW w:w="188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2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32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50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r>
      <w:tr w:rsidR="004E4A49" w:rsidRPr="00205D81" w:rsidTr="00125D7B">
        <w:trPr>
          <w:trHeight w:val="270"/>
        </w:trPr>
        <w:tc>
          <w:tcPr>
            <w:tcW w:w="1400" w:type="dxa"/>
            <w:vMerge/>
            <w:tcBorders>
              <w:top w:val="nil"/>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sz w:val="20"/>
                <w:szCs w:val="20"/>
              </w:rPr>
            </w:pPr>
          </w:p>
        </w:tc>
        <w:tc>
          <w:tcPr>
            <w:tcW w:w="188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 (*)</w:t>
            </w:r>
          </w:p>
        </w:tc>
        <w:tc>
          <w:tcPr>
            <w:tcW w:w="132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$ 51.816,7</w:t>
            </w:r>
          </w:p>
        </w:tc>
        <w:tc>
          <w:tcPr>
            <w:tcW w:w="120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100,0</w:t>
            </w:r>
          </w:p>
        </w:tc>
        <w:tc>
          <w:tcPr>
            <w:tcW w:w="132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$ 51.816,7</w:t>
            </w:r>
          </w:p>
        </w:tc>
        <w:tc>
          <w:tcPr>
            <w:tcW w:w="150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b/>
                <w:bCs/>
                <w:sz w:val="20"/>
                <w:szCs w:val="20"/>
              </w:rPr>
            </w:pPr>
            <w:r w:rsidRPr="00205D81">
              <w:rPr>
                <w:rFonts w:ascii="Calibri" w:eastAsia="Times New Roman" w:hAnsi="Calibri" w:cs="Calibri"/>
                <w:b/>
                <w:bCs/>
                <w:sz w:val="20"/>
                <w:szCs w:val="20"/>
              </w:rPr>
              <w:t>$ 4.000,0</w:t>
            </w:r>
          </w:p>
        </w:tc>
      </w:tr>
      <w:tr w:rsidR="004E4A49" w:rsidRPr="00205D81" w:rsidTr="00125D7B">
        <w:trPr>
          <w:trHeight w:val="270"/>
        </w:trPr>
        <w:tc>
          <w:tcPr>
            <w:tcW w:w="3280" w:type="dxa"/>
            <w:gridSpan w:val="2"/>
            <w:tcBorders>
              <w:top w:val="single" w:sz="8" w:space="0" w:color="auto"/>
              <w:left w:val="single" w:sz="8" w:space="0" w:color="auto"/>
              <w:bottom w:val="single" w:sz="8" w:space="0" w:color="auto"/>
              <w:right w:val="single" w:sz="8" w:space="0" w:color="000000"/>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Variación Anual</w:t>
            </w:r>
          </w:p>
        </w:tc>
        <w:tc>
          <w:tcPr>
            <w:tcW w:w="1320" w:type="dxa"/>
            <w:tcBorders>
              <w:top w:val="nil"/>
              <w:left w:val="nil"/>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34,5%</w:t>
            </w:r>
          </w:p>
        </w:tc>
        <w:tc>
          <w:tcPr>
            <w:tcW w:w="1200" w:type="dxa"/>
            <w:tcBorders>
              <w:top w:val="nil"/>
              <w:left w:val="single" w:sz="8" w:space="0" w:color="auto"/>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37,7%</w:t>
            </w:r>
          </w:p>
        </w:tc>
        <w:tc>
          <w:tcPr>
            <w:tcW w:w="1320" w:type="dxa"/>
            <w:tcBorders>
              <w:top w:val="nil"/>
              <w:left w:val="single" w:sz="8" w:space="0" w:color="auto"/>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-2,3%</w:t>
            </w:r>
          </w:p>
        </w:tc>
        <w:tc>
          <w:tcPr>
            <w:tcW w:w="1500" w:type="dxa"/>
            <w:tcBorders>
              <w:top w:val="nil"/>
              <w:left w:val="single" w:sz="8" w:space="0" w:color="auto"/>
              <w:bottom w:val="nil"/>
              <w:right w:val="single" w:sz="8" w:space="0" w:color="auto"/>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270"/>
        </w:trPr>
        <w:tc>
          <w:tcPr>
            <w:tcW w:w="3280" w:type="dxa"/>
            <w:gridSpan w:val="2"/>
            <w:tcBorders>
              <w:top w:val="single" w:sz="8" w:space="0" w:color="auto"/>
              <w:left w:val="single" w:sz="8" w:space="0" w:color="auto"/>
              <w:bottom w:val="single" w:sz="8" w:space="0" w:color="auto"/>
              <w:right w:val="single" w:sz="8" w:space="0" w:color="000000"/>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Variación Bienal</w:t>
            </w:r>
          </w:p>
        </w:tc>
        <w:tc>
          <w:tcPr>
            <w:tcW w:w="1320" w:type="dxa"/>
            <w:tcBorders>
              <w:top w:val="nil"/>
              <w:left w:val="nil"/>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80,8%</w:t>
            </w:r>
          </w:p>
        </w:tc>
        <w:tc>
          <w:tcPr>
            <w:tcW w:w="1200" w:type="dxa"/>
            <w:tcBorders>
              <w:top w:val="nil"/>
              <w:left w:val="single" w:sz="8" w:space="0" w:color="auto"/>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103,3%</w:t>
            </w:r>
          </w:p>
        </w:tc>
        <w:tc>
          <w:tcPr>
            <w:tcW w:w="1320" w:type="dxa"/>
            <w:tcBorders>
              <w:top w:val="nil"/>
              <w:left w:val="single" w:sz="8" w:space="0" w:color="auto"/>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-11,1%</w:t>
            </w:r>
          </w:p>
        </w:tc>
        <w:tc>
          <w:tcPr>
            <w:tcW w:w="1500" w:type="dxa"/>
            <w:tcBorders>
              <w:top w:val="nil"/>
              <w:left w:val="single" w:sz="8" w:space="0" w:color="auto"/>
              <w:bottom w:val="nil"/>
              <w:right w:val="single" w:sz="8" w:space="0" w:color="auto"/>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270"/>
        </w:trPr>
        <w:tc>
          <w:tcPr>
            <w:tcW w:w="3280" w:type="dxa"/>
            <w:gridSpan w:val="2"/>
            <w:tcBorders>
              <w:top w:val="single" w:sz="8" w:space="0" w:color="auto"/>
              <w:left w:val="single" w:sz="8" w:space="0" w:color="auto"/>
              <w:bottom w:val="single" w:sz="8" w:space="0" w:color="auto"/>
              <w:right w:val="single" w:sz="8" w:space="0" w:color="000000"/>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Variación Gestión Macri</w:t>
            </w:r>
          </w:p>
        </w:tc>
        <w:tc>
          <w:tcPr>
            <w:tcW w:w="1320" w:type="dxa"/>
            <w:tcBorders>
              <w:top w:val="nil"/>
              <w:left w:val="nil"/>
              <w:bottom w:val="nil"/>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202,5%</w:t>
            </w:r>
          </w:p>
        </w:tc>
        <w:tc>
          <w:tcPr>
            <w:tcW w:w="1200" w:type="dxa"/>
            <w:tcBorders>
              <w:top w:val="nil"/>
              <w:left w:val="single" w:sz="8" w:space="0" w:color="auto"/>
              <w:bottom w:val="nil"/>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253,6%</w:t>
            </w:r>
          </w:p>
        </w:tc>
        <w:tc>
          <w:tcPr>
            <w:tcW w:w="1320" w:type="dxa"/>
            <w:tcBorders>
              <w:top w:val="nil"/>
              <w:left w:val="single" w:sz="8" w:space="0" w:color="auto"/>
              <w:bottom w:val="nil"/>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-14,5%</w:t>
            </w:r>
          </w:p>
        </w:tc>
        <w:tc>
          <w:tcPr>
            <w:tcW w:w="1500" w:type="dxa"/>
            <w:tcBorders>
              <w:top w:val="nil"/>
              <w:left w:val="single" w:sz="8" w:space="0" w:color="auto"/>
              <w:bottom w:val="nil"/>
              <w:right w:val="single" w:sz="8" w:space="0" w:color="auto"/>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585"/>
        </w:trPr>
        <w:tc>
          <w:tcPr>
            <w:tcW w:w="3280" w:type="dxa"/>
            <w:gridSpan w:val="2"/>
            <w:tcBorders>
              <w:top w:val="single" w:sz="8" w:space="0" w:color="auto"/>
              <w:left w:val="single" w:sz="8" w:space="0" w:color="auto"/>
              <w:bottom w:val="single" w:sz="8" w:space="0" w:color="auto"/>
              <w:right w:val="single" w:sz="8" w:space="0" w:color="000000"/>
            </w:tcBorders>
            <w:shd w:val="clear" w:color="000000" w:fill="A5A5A5"/>
            <w:vAlign w:val="center"/>
            <w:hideMark/>
          </w:tcPr>
          <w:p w:rsidR="004E4A49" w:rsidRPr="00205D81" w:rsidRDefault="004E4A49" w:rsidP="00125D7B">
            <w:pPr>
              <w:spacing w:after="0" w:line="240" w:lineRule="auto"/>
              <w:jc w:val="center"/>
              <w:rPr>
                <w:rFonts w:ascii="Calibri" w:eastAsia="Times New Roman" w:hAnsi="Calibri" w:cs="Calibri"/>
                <w:b/>
                <w:bCs/>
                <w:i/>
                <w:iCs/>
                <w:color w:val="FFFFFF"/>
                <w:sz w:val="20"/>
                <w:szCs w:val="20"/>
              </w:rPr>
            </w:pPr>
            <w:r w:rsidRPr="00205D81">
              <w:rPr>
                <w:rFonts w:ascii="Calibri" w:eastAsia="Times New Roman" w:hAnsi="Calibri" w:cs="Calibri"/>
                <w:b/>
                <w:bCs/>
                <w:i/>
                <w:iCs/>
                <w:color w:val="FFFFFF"/>
                <w:sz w:val="20"/>
                <w:szCs w:val="20"/>
              </w:rPr>
              <w:t>Pérdida acumulada</w:t>
            </w:r>
            <w:r w:rsidRPr="00205D81">
              <w:rPr>
                <w:rFonts w:ascii="Calibri" w:eastAsia="Times New Roman" w:hAnsi="Calibri" w:cs="Calibri"/>
                <w:b/>
                <w:bCs/>
                <w:i/>
                <w:iCs/>
                <w:color w:val="FFFFFF"/>
                <w:sz w:val="20"/>
                <w:szCs w:val="20"/>
              </w:rPr>
              <w:br/>
              <w:t>(desde Julio 2018)</w:t>
            </w:r>
          </w:p>
        </w:tc>
        <w:tc>
          <w:tcPr>
            <w:tcW w:w="5340" w:type="dxa"/>
            <w:gridSpan w:val="4"/>
            <w:tcBorders>
              <w:top w:val="single" w:sz="8" w:space="0" w:color="auto"/>
              <w:left w:val="nil"/>
              <w:bottom w:val="single" w:sz="8" w:space="0" w:color="auto"/>
              <w:right w:val="single" w:sz="8" w:space="0" w:color="000000"/>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i/>
                <w:iCs/>
                <w:sz w:val="20"/>
                <w:szCs w:val="20"/>
              </w:rPr>
            </w:pPr>
            <w:r w:rsidRPr="00205D81">
              <w:rPr>
                <w:rFonts w:ascii="Calibri" w:eastAsia="Times New Roman" w:hAnsi="Calibri" w:cs="Calibri"/>
                <w:b/>
                <w:bCs/>
                <w:i/>
                <w:iCs/>
                <w:sz w:val="20"/>
                <w:szCs w:val="20"/>
              </w:rPr>
              <w:t>$ 4.376,0</w:t>
            </w:r>
          </w:p>
        </w:tc>
      </w:tr>
      <w:tr w:rsidR="004E4A49" w:rsidRPr="00205D81" w:rsidTr="00125D7B">
        <w:trPr>
          <w:trHeight w:val="525"/>
        </w:trPr>
        <w:tc>
          <w:tcPr>
            <w:tcW w:w="1400" w:type="dxa"/>
            <w:vMerge w:val="restart"/>
            <w:tcBorders>
              <w:top w:val="nil"/>
              <w:left w:val="single" w:sz="8" w:space="0" w:color="auto"/>
              <w:bottom w:val="single" w:sz="8" w:space="0" w:color="000000"/>
              <w:right w:val="single" w:sz="8" w:space="0" w:color="auto"/>
            </w:tcBorders>
            <w:shd w:val="clear" w:color="000000" w:fill="00B050"/>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Con aumento remunerativo</w:t>
            </w:r>
          </w:p>
        </w:tc>
        <w:tc>
          <w:tcPr>
            <w:tcW w:w="1880" w:type="dxa"/>
            <w:tcBorders>
              <w:top w:val="nil"/>
              <w:left w:val="nil"/>
              <w:bottom w:val="single" w:sz="8" w:space="0" w:color="auto"/>
              <w:right w:val="nil"/>
            </w:tcBorders>
            <w:shd w:val="clear" w:color="000000" w:fill="00B050"/>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 xml:space="preserve">Variación </w:t>
            </w:r>
            <w:r w:rsidRPr="00205D81">
              <w:rPr>
                <w:rFonts w:ascii="Calibri" w:eastAsia="Times New Roman" w:hAnsi="Calibri" w:cs="Calibri"/>
                <w:b/>
                <w:bCs/>
                <w:color w:val="FFFFFF"/>
                <w:sz w:val="20"/>
                <w:szCs w:val="20"/>
              </w:rPr>
              <w:br/>
              <w:t>Anual</w:t>
            </w:r>
          </w:p>
        </w:tc>
        <w:tc>
          <w:tcPr>
            <w:tcW w:w="2520" w:type="dxa"/>
            <w:gridSpan w:val="2"/>
            <w:tcBorders>
              <w:top w:val="single" w:sz="8" w:space="0" w:color="auto"/>
              <w:left w:val="single" w:sz="8" w:space="0" w:color="auto"/>
              <w:bottom w:val="single" w:sz="8" w:space="0" w:color="auto"/>
              <w:right w:val="single" w:sz="8" w:space="0" w:color="000000"/>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45,8%</w:t>
            </w:r>
          </w:p>
        </w:tc>
        <w:tc>
          <w:tcPr>
            <w:tcW w:w="1320" w:type="dxa"/>
            <w:tcBorders>
              <w:top w:val="nil"/>
              <w:left w:val="nil"/>
              <w:bottom w:val="single" w:sz="8" w:space="0" w:color="auto"/>
              <w:right w:val="nil"/>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5,9%</w:t>
            </w:r>
          </w:p>
        </w:tc>
        <w:tc>
          <w:tcPr>
            <w:tcW w:w="1500" w:type="dxa"/>
            <w:tcBorders>
              <w:top w:val="nil"/>
              <w:left w:val="single" w:sz="8" w:space="0" w:color="auto"/>
              <w:bottom w:val="nil"/>
              <w:right w:val="single" w:sz="8" w:space="0" w:color="auto"/>
            </w:tcBorders>
            <w:shd w:val="clear" w:color="000000" w:fill="EAF1DD"/>
            <w:noWrap/>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525"/>
        </w:trPr>
        <w:tc>
          <w:tcPr>
            <w:tcW w:w="1400" w:type="dxa"/>
            <w:vMerge/>
            <w:tcBorders>
              <w:top w:val="nil"/>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FFFFFF"/>
                <w:sz w:val="20"/>
                <w:szCs w:val="20"/>
              </w:rPr>
            </w:pPr>
          </w:p>
        </w:tc>
        <w:tc>
          <w:tcPr>
            <w:tcW w:w="1880" w:type="dxa"/>
            <w:tcBorders>
              <w:top w:val="nil"/>
              <w:left w:val="nil"/>
              <w:bottom w:val="single" w:sz="8" w:space="0" w:color="auto"/>
              <w:right w:val="nil"/>
            </w:tcBorders>
            <w:shd w:val="clear" w:color="000000" w:fill="00B050"/>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 xml:space="preserve">Variación </w:t>
            </w:r>
            <w:r w:rsidRPr="00205D81">
              <w:rPr>
                <w:rFonts w:ascii="Calibri" w:eastAsia="Times New Roman" w:hAnsi="Calibri" w:cs="Calibri"/>
                <w:b/>
                <w:bCs/>
                <w:color w:val="FFFFFF"/>
                <w:sz w:val="20"/>
                <w:szCs w:val="20"/>
              </w:rPr>
              <w:br/>
              <w:t>Bienal</w:t>
            </w:r>
          </w:p>
        </w:tc>
        <w:tc>
          <w:tcPr>
            <w:tcW w:w="2520" w:type="dxa"/>
            <w:gridSpan w:val="2"/>
            <w:tcBorders>
              <w:top w:val="single" w:sz="8" w:space="0" w:color="auto"/>
              <w:left w:val="single" w:sz="8" w:space="0" w:color="auto"/>
              <w:bottom w:val="single" w:sz="8" w:space="0" w:color="auto"/>
              <w:right w:val="single" w:sz="8" w:space="0" w:color="000000"/>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95,9%</w:t>
            </w:r>
          </w:p>
        </w:tc>
        <w:tc>
          <w:tcPr>
            <w:tcW w:w="1320" w:type="dxa"/>
            <w:tcBorders>
              <w:top w:val="nil"/>
              <w:left w:val="nil"/>
              <w:bottom w:val="single" w:sz="8" w:space="0" w:color="auto"/>
              <w:right w:val="nil"/>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-3,6%</w:t>
            </w:r>
          </w:p>
        </w:tc>
        <w:tc>
          <w:tcPr>
            <w:tcW w:w="1500" w:type="dxa"/>
            <w:tcBorders>
              <w:top w:val="nil"/>
              <w:left w:val="single" w:sz="8" w:space="0" w:color="auto"/>
              <w:bottom w:val="nil"/>
              <w:right w:val="single" w:sz="8" w:space="0" w:color="auto"/>
            </w:tcBorders>
            <w:shd w:val="clear" w:color="000000" w:fill="EAF1DD"/>
            <w:noWrap/>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525"/>
        </w:trPr>
        <w:tc>
          <w:tcPr>
            <w:tcW w:w="1400" w:type="dxa"/>
            <w:vMerge/>
            <w:tcBorders>
              <w:top w:val="nil"/>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FFFFFF"/>
                <w:sz w:val="20"/>
                <w:szCs w:val="20"/>
              </w:rPr>
            </w:pPr>
          </w:p>
        </w:tc>
        <w:tc>
          <w:tcPr>
            <w:tcW w:w="1880" w:type="dxa"/>
            <w:tcBorders>
              <w:top w:val="nil"/>
              <w:left w:val="nil"/>
              <w:bottom w:val="single" w:sz="8" w:space="0" w:color="auto"/>
              <w:right w:val="single" w:sz="8" w:space="0" w:color="auto"/>
            </w:tcBorders>
            <w:shd w:val="clear" w:color="000000" w:fill="00B050"/>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 xml:space="preserve">Variación </w:t>
            </w:r>
            <w:r w:rsidRPr="00205D81">
              <w:rPr>
                <w:rFonts w:ascii="Calibri" w:eastAsia="Times New Roman" w:hAnsi="Calibri" w:cs="Calibri"/>
                <w:b/>
                <w:bCs/>
                <w:color w:val="FFFFFF"/>
                <w:sz w:val="20"/>
                <w:szCs w:val="20"/>
              </w:rPr>
              <w:br/>
              <w:t>Gestión Macri</w:t>
            </w:r>
          </w:p>
        </w:tc>
        <w:tc>
          <w:tcPr>
            <w:tcW w:w="2520" w:type="dxa"/>
            <w:gridSpan w:val="2"/>
            <w:tcBorders>
              <w:top w:val="single" w:sz="8" w:space="0" w:color="auto"/>
              <w:left w:val="nil"/>
              <w:bottom w:val="single" w:sz="8" w:space="0" w:color="auto"/>
              <w:right w:val="single" w:sz="8" w:space="0" w:color="000000"/>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227,8%</w:t>
            </w:r>
          </w:p>
        </w:tc>
        <w:tc>
          <w:tcPr>
            <w:tcW w:w="1320" w:type="dxa"/>
            <w:tcBorders>
              <w:top w:val="nil"/>
              <w:left w:val="nil"/>
              <w:bottom w:val="single" w:sz="8" w:space="0" w:color="auto"/>
              <w:right w:val="nil"/>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-7,3%</w:t>
            </w:r>
          </w:p>
        </w:tc>
        <w:tc>
          <w:tcPr>
            <w:tcW w:w="1500" w:type="dxa"/>
            <w:tcBorders>
              <w:top w:val="nil"/>
              <w:left w:val="single" w:sz="8" w:space="0" w:color="auto"/>
              <w:bottom w:val="single" w:sz="8" w:space="0" w:color="auto"/>
              <w:right w:val="single" w:sz="8" w:space="0" w:color="auto"/>
            </w:tcBorders>
            <w:shd w:val="clear" w:color="000000" w:fill="EAF1DD"/>
            <w:noWrap/>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bl>
    <w:p w:rsidR="004E4A49" w:rsidRDefault="004E4A49" w:rsidP="004E4A49"/>
    <w:p w:rsidR="004E4A49" w:rsidRPr="004E4A49" w:rsidRDefault="004E4A49" w:rsidP="004E4A49">
      <w:pPr>
        <w:rPr>
          <w:sz w:val="20"/>
        </w:rPr>
      </w:pPr>
      <w:r w:rsidRPr="004E4A49">
        <w:rPr>
          <w:sz w:val="20"/>
        </w:rPr>
        <w:t>Fuente: Observatorio de Empleo y Dinámica Empresarial - MTEySS - en base a SIPA</w:t>
      </w:r>
    </w:p>
    <w:p w:rsidR="004E4A49" w:rsidRPr="004E4A49" w:rsidRDefault="004E4A49" w:rsidP="004E4A49">
      <w:pPr>
        <w:rPr>
          <w:sz w:val="20"/>
        </w:rPr>
      </w:pPr>
      <w:r w:rsidRPr="004E4A49">
        <w:rPr>
          <w:sz w:val="20"/>
        </w:rPr>
        <w:t>(*) Simulación de aumento salarial -nominal- remunerativo a febrero 2020 dada la suma fija de $4000, con la última información disponible de la remuneración promedio e IPC</w:t>
      </w:r>
    </w:p>
    <w:p w:rsidR="004E4A49" w:rsidRDefault="004E4A49" w:rsidP="004E4A49">
      <w:pPr>
        <w:spacing w:after="0" w:line="240" w:lineRule="auto"/>
        <w:contextualSpacing/>
        <w:mirrorIndents/>
      </w:pPr>
    </w:p>
    <w:p w:rsidR="004E4A49" w:rsidRDefault="004E4A49" w:rsidP="004E4A49">
      <w:pPr>
        <w:spacing w:after="0" w:line="240" w:lineRule="auto"/>
        <w:contextualSpacing/>
        <w:mirrorIndents/>
        <w:rPr>
          <w:b/>
          <w:sz w:val="20"/>
        </w:rPr>
      </w:pPr>
    </w:p>
    <w:p w:rsidR="004E4A49" w:rsidRDefault="004E4A49" w:rsidP="004E4A49">
      <w:pPr>
        <w:spacing w:after="0" w:line="240" w:lineRule="auto"/>
        <w:contextualSpacing/>
        <w:mirrorIndents/>
        <w:rPr>
          <w:b/>
          <w:sz w:val="20"/>
        </w:rPr>
      </w:pPr>
    </w:p>
    <w:p w:rsidR="004E4A49" w:rsidRDefault="004E4A49" w:rsidP="004E4A49">
      <w:pPr>
        <w:spacing w:after="0" w:line="240" w:lineRule="auto"/>
        <w:contextualSpacing/>
        <w:mirrorIndents/>
        <w:rPr>
          <w:b/>
          <w:sz w:val="20"/>
        </w:rPr>
      </w:pPr>
    </w:p>
    <w:p w:rsidR="004E4A49" w:rsidRDefault="004E4A49" w:rsidP="004E4A49">
      <w:pPr>
        <w:spacing w:after="0" w:line="240" w:lineRule="auto"/>
        <w:contextualSpacing/>
        <w:mirrorIndents/>
        <w:rPr>
          <w:b/>
          <w:sz w:val="20"/>
        </w:rPr>
      </w:pPr>
    </w:p>
    <w:p w:rsidR="004E4A49" w:rsidRDefault="004E4A49" w:rsidP="004E4A49">
      <w:pPr>
        <w:spacing w:after="0" w:line="240" w:lineRule="auto"/>
        <w:contextualSpacing/>
        <w:mirrorIndents/>
        <w:rPr>
          <w:b/>
          <w:sz w:val="20"/>
        </w:rPr>
      </w:pPr>
    </w:p>
    <w:p w:rsidR="004E4A49" w:rsidRPr="004E4A49" w:rsidRDefault="004E4A49" w:rsidP="004E4A49">
      <w:pPr>
        <w:spacing w:after="0" w:line="240" w:lineRule="auto"/>
        <w:contextualSpacing/>
        <w:mirrorIndents/>
        <w:rPr>
          <w:b/>
          <w:sz w:val="20"/>
        </w:rPr>
      </w:pPr>
      <w:r>
        <w:rPr>
          <w:b/>
          <w:sz w:val="20"/>
        </w:rPr>
        <w:t>Cuadro Nº 2</w:t>
      </w:r>
      <w:r w:rsidRPr="004E4A49">
        <w:rPr>
          <w:b/>
          <w:sz w:val="20"/>
        </w:rPr>
        <w:t xml:space="preserve">: Evolución nominal y real de la Remuneración Imponible Promedio De Los Trabajadores Estables (RIPTE) – Diciembre 2015 – Octubre 2019. Total Nacional. </w:t>
      </w:r>
    </w:p>
    <w:p w:rsidR="004E4A49" w:rsidRDefault="004E4A49" w:rsidP="004E4A49">
      <w:pPr>
        <w:spacing w:after="0" w:line="240" w:lineRule="auto"/>
        <w:contextualSpacing/>
        <w:mirrorIndents/>
        <w:rPr>
          <w:b/>
        </w:rPr>
      </w:pPr>
    </w:p>
    <w:tbl>
      <w:tblPr>
        <w:tblW w:w="7860" w:type="dxa"/>
        <w:tblInd w:w="60" w:type="dxa"/>
        <w:tblCellMar>
          <w:left w:w="70" w:type="dxa"/>
          <w:right w:w="70" w:type="dxa"/>
        </w:tblCellMar>
        <w:tblLook w:val="04A0"/>
      </w:tblPr>
      <w:tblGrid>
        <w:gridCol w:w="1360"/>
        <w:gridCol w:w="1540"/>
        <w:gridCol w:w="1360"/>
        <w:gridCol w:w="1200"/>
        <w:gridCol w:w="1200"/>
        <w:gridCol w:w="1200"/>
      </w:tblGrid>
      <w:tr w:rsidR="004E4A49" w:rsidRPr="00205D81" w:rsidTr="00125D7B">
        <w:trPr>
          <w:trHeight w:val="1290"/>
        </w:trPr>
        <w:tc>
          <w:tcPr>
            <w:tcW w:w="2900" w:type="dxa"/>
            <w:gridSpan w:val="2"/>
            <w:tcBorders>
              <w:top w:val="single" w:sz="8" w:space="0" w:color="auto"/>
              <w:left w:val="single" w:sz="8" w:space="0" w:color="auto"/>
              <w:bottom w:val="single" w:sz="8" w:space="0" w:color="auto"/>
              <w:right w:val="single" w:sz="8" w:space="0" w:color="000000"/>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Período</w:t>
            </w:r>
          </w:p>
        </w:tc>
        <w:tc>
          <w:tcPr>
            <w:tcW w:w="1360" w:type="dxa"/>
            <w:tcBorders>
              <w:top w:val="single" w:sz="8" w:space="0" w:color="auto"/>
              <w:left w:val="nil"/>
              <w:bottom w:val="single" w:sz="8" w:space="0" w:color="auto"/>
              <w:right w:val="nil"/>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RIPTE</w:t>
            </w:r>
            <w:r w:rsidRPr="00205D81">
              <w:rPr>
                <w:rFonts w:ascii="Calibri" w:eastAsia="Times New Roman" w:hAnsi="Calibri" w:cs="Calibri"/>
                <w:b/>
                <w:bCs/>
                <w:color w:val="FFFFFF"/>
                <w:sz w:val="20"/>
                <w:szCs w:val="20"/>
                <w:u w:val="single"/>
              </w:rPr>
              <w:br/>
              <w:t>Nominal</w:t>
            </w:r>
            <w:r w:rsidRPr="00205D81">
              <w:rPr>
                <w:rFonts w:ascii="Calibri" w:eastAsia="Times New Roman" w:hAnsi="Calibri" w:cs="Calibri"/>
                <w:b/>
                <w:bCs/>
                <w:color w:val="FFFFFF"/>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IPC</w:t>
            </w:r>
            <w:r w:rsidRPr="00205D81">
              <w:rPr>
                <w:rFonts w:ascii="Calibri" w:eastAsia="Times New Roman" w:hAnsi="Calibri" w:cs="Calibri"/>
                <w:b/>
                <w:bCs/>
                <w:color w:val="FFFFFF"/>
                <w:sz w:val="20"/>
                <w:szCs w:val="20"/>
              </w:rPr>
              <w:br/>
              <w:t>Base 100= Oct.19</w:t>
            </w:r>
          </w:p>
        </w:tc>
        <w:tc>
          <w:tcPr>
            <w:tcW w:w="1200" w:type="dxa"/>
            <w:tcBorders>
              <w:top w:val="single" w:sz="8" w:space="0" w:color="auto"/>
              <w:left w:val="nil"/>
              <w:bottom w:val="single" w:sz="8" w:space="0" w:color="auto"/>
              <w:right w:val="nil"/>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RIPTE</w:t>
            </w:r>
            <w:r w:rsidRPr="00205D81">
              <w:rPr>
                <w:rFonts w:ascii="Calibri" w:eastAsia="Times New Roman" w:hAnsi="Calibri" w:cs="Calibri"/>
                <w:b/>
                <w:bCs/>
                <w:color w:val="FFFFFF"/>
                <w:sz w:val="20"/>
                <w:szCs w:val="20"/>
              </w:rPr>
              <w:br/>
            </w:r>
            <w:r w:rsidRPr="00205D81">
              <w:rPr>
                <w:rFonts w:ascii="Calibri" w:eastAsia="Times New Roman" w:hAnsi="Calibri" w:cs="Calibri"/>
                <w:b/>
                <w:bCs/>
                <w:color w:val="FFFFFF"/>
                <w:sz w:val="20"/>
                <w:szCs w:val="20"/>
                <w:u w:val="single"/>
              </w:rPr>
              <w:t xml:space="preserve">Real </w:t>
            </w:r>
            <w:r w:rsidRPr="00205D81">
              <w:rPr>
                <w:rFonts w:ascii="Calibri" w:eastAsia="Times New Roman" w:hAnsi="Calibri" w:cs="Calibri"/>
                <w:b/>
                <w:bCs/>
                <w:color w:val="FFFFFF"/>
                <w:sz w:val="20"/>
                <w:szCs w:val="20"/>
              </w:rPr>
              <w:br/>
              <w:t xml:space="preserve">(A precios de </w:t>
            </w:r>
            <w:r w:rsidRPr="00205D81">
              <w:rPr>
                <w:rFonts w:ascii="Calibri" w:eastAsia="Times New Roman" w:hAnsi="Calibri" w:cs="Calibri"/>
                <w:b/>
                <w:bCs/>
                <w:color w:val="FFFFFF"/>
                <w:sz w:val="20"/>
                <w:szCs w:val="20"/>
              </w:rPr>
              <w:br/>
              <w:t>Oct. 2019)</w:t>
            </w:r>
          </w:p>
        </w:tc>
        <w:tc>
          <w:tcPr>
            <w:tcW w:w="1200" w:type="dxa"/>
            <w:tcBorders>
              <w:top w:val="single" w:sz="8" w:space="0" w:color="auto"/>
              <w:left w:val="single" w:sz="8" w:space="0" w:color="auto"/>
              <w:bottom w:val="single" w:sz="8" w:space="0" w:color="auto"/>
              <w:right w:val="single" w:sz="8" w:space="0" w:color="auto"/>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 xml:space="preserve">Pérdida mensual </w:t>
            </w:r>
            <w:r w:rsidRPr="00205D81">
              <w:rPr>
                <w:rFonts w:ascii="Calibri" w:eastAsia="Times New Roman" w:hAnsi="Calibri" w:cs="Calibri"/>
                <w:b/>
                <w:bCs/>
                <w:color w:val="FFFFFF"/>
                <w:sz w:val="20"/>
                <w:szCs w:val="20"/>
              </w:rPr>
              <w:br/>
              <w:t xml:space="preserve"> </w:t>
            </w:r>
            <w:r w:rsidRPr="00205D81">
              <w:rPr>
                <w:rFonts w:ascii="Calibri" w:eastAsia="Times New Roman" w:hAnsi="Calibri" w:cs="Calibri"/>
                <w:b/>
                <w:bCs/>
                <w:color w:val="FFFFFF"/>
                <w:sz w:val="20"/>
                <w:szCs w:val="20"/>
                <w:u w:val="single"/>
              </w:rPr>
              <w:t>Real</w:t>
            </w:r>
            <w:r w:rsidRPr="00205D81">
              <w:rPr>
                <w:rFonts w:ascii="Calibri" w:eastAsia="Times New Roman" w:hAnsi="Calibri" w:cs="Calibri"/>
                <w:b/>
                <w:bCs/>
                <w:color w:val="FFFFFF"/>
                <w:sz w:val="20"/>
                <w:szCs w:val="20"/>
              </w:rPr>
              <w:br/>
              <w:t>(A precios de</w:t>
            </w:r>
            <w:r w:rsidRPr="00205D81">
              <w:rPr>
                <w:rFonts w:ascii="Calibri" w:eastAsia="Times New Roman" w:hAnsi="Calibri" w:cs="Calibri"/>
                <w:b/>
                <w:bCs/>
                <w:color w:val="FFFFFF"/>
                <w:sz w:val="20"/>
                <w:szCs w:val="20"/>
              </w:rPr>
              <w:br/>
              <w:t xml:space="preserve"> Oct. 2019)</w:t>
            </w:r>
          </w:p>
        </w:tc>
      </w:tr>
      <w:tr w:rsidR="004E4A49" w:rsidRPr="00205D81" w:rsidTr="00125D7B">
        <w:trPr>
          <w:trHeight w:val="315"/>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2015</w:t>
            </w:r>
          </w:p>
        </w:tc>
        <w:tc>
          <w:tcPr>
            <w:tcW w:w="154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6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$ 15.801,0</w:t>
            </w:r>
          </w:p>
        </w:tc>
        <w:tc>
          <w:tcPr>
            <w:tcW w:w="1200" w:type="dxa"/>
            <w:tcBorders>
              <w:top w:val="nil"/>
              <w:left w:val="nil"/>
              <w:bottom w:val="nil"/>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27,4</w:t>
            </w:r>
          </w:p>
        </w:tc>
        <w:tc>
          <w:tcPr>
            <w:tcW w:w="12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$ 57.706,0</w:t>
            </w:r>
          </w:p>
        </w:tc>
        <w:tc>
          <w:tcPr>
            <w:tcW w:w="12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w:t>
            </w:r>
          </w:p>
        </w:tc>
      </w:tr>
      <w:tr w:rsidR="004E4A49" w:rsidRPr="00205D81" w:rsidTr="00125D7B">
        <w:trPr>
          <w:trHeight w:val="300"/>
        </w:trPr>
        <w:tc>
          <w:tcPr>
            <w:tcW w:w="1360" w:type="dxa"/>
            <w:vMerge w:val="restart"/>
            <w:tcBorders>
              <w:top w:val="nil"/>
              <w:left w:val="single" w:sz="8" w:space="0" w:color="auto"/>
              <w:bottom w:val="nil"/>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2016</w:t>
            </w: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$ 15.822,9</w:t>
            </w:r>
          </w:p>
        </w:tc>
        <w:tc>
          <w:tcPr>
            <w:tcW w:w="1200" w:type="dxa"/>
            <w:tcBorders>
              <w:top w:val="single" w:sz="8" w:space="0" w:color="auto"/>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28,5</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$ 55.490,2</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-$ 2.215,8</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$ 16.520,5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29,6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$ 55.724,8</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$ 234,6</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Marzo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$ 16.977,3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30,6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$ 55.426,3</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-$ 298,5</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Abril</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$ 17.691,3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32,6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$ 54.209,5</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-$ 1.216,8</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Mayo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$ 18.042,7</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34,0</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$ 53.061,2</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-$ 1.148,3</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Junio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$ 18.277,6</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35,0</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$ 52.147,9</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-$ 913,3</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Julio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$ 18.988,4</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35,8</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$ 53.089,5</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$ 941,6</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Agosto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$ 19.216,8</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35,8</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$ 53.619,6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$ 530,1</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Septiembre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$ 19.666,5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36,3</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$ 54.250,9</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$ 631,3</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Octubre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$ 20.069,3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37,1</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$ 54.086,0</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-$ 164,9</w:t>
            </w:r>
          </w:p>
        </w:tc>
      </w:tr>
      <w:tr w:rsidR="004E4A49" w:rsidRPr="00205D81" w:rsidTr="00125D7B">
        <w:trPr>
          <w:trHeight w:val="300"/>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Noviembre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$ 20.422,7</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37,7</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$ 54.161,8</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$ 75,7</w:t>
            </w:r>
          </w:p>
        </w:tc>
      </w:tr>
      <w:tr w:rsidR="004E4A49" w:rsidRPr="00205D81" w:rsidTr="00125D7B">
        <w:trPr>
          <w:trHeight w:val="315"/>
        </w:trPr>
        <w:tc>
          <w:tcPr>
            <w:tcW w:w="1360" w:type="dxa"/>
            <w:vMerge/>
            <w:tcBorders>
              <w:top w:val="nil"/>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6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$ 20.690,1</w:t>
            </w:r>
          </w:p>
        </w:tc>
        <w:tc>
          <w:tcPr>
            <w:tcW w:w="1200" w:type="dxa"/>
            <w:tcBorders>
              <w:top w:val="nil"/>
              <w:left w:val="nil"/>
              <w:bottom w:val="single" w:sz="8"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38,2</w:t>
            </w:r>
          </w:p>
        </w:tc>
        <w:tc>
          <w:tcPr>
            <w:tcW w:w="12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$ 54.221,8</w:t>
            </w:r>
          </w:p>
        </w:tc>
        <w:tc>
          <w:tcPr>
            <w:tcW w:w="12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$ 60,1</w:t>
            </w:r>
          </w:p>
        </w:tc>
      </w:tr>
      <w:tr w:rsidR="004E4A49" w:rsidRPr="00205D81" w:rsidTr="00125D7B">
        <w:trPr>
          <w:trHeight w:val="300"/>
        </w:trPr>
        <w:tc>
          <w:tcPr>
            <w:tcW w:w="136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2017</w:t>
            </w: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$ 21.048,2</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38,8</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$ 54.299,1</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$ 77,3</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$ 21.483,0</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39,6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$ 54.298,4</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-$ 0,7</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Marzo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$ 22.285,5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40,5</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$ 55.020,3</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$ 721,9</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Abril</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$ 22.650,5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41,6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$ 54.474,8</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-$ 545,5</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Mayo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$ 23.030,0</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42,2</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$ 54.603,9</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$ 129,2</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Junio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$ 23.470,0</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42,7</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$ 54.991,6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$ 387,7</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Julio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$ 24.489,2</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43,4</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$ 56.402,6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$ 1.411,0</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Agosto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$ 24.700,4</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44,0</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$ 56.101,9</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-$ 300,7</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Septiembre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$ 25.136,4</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44,9</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$ 56.028,6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-$ 73,3</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Octubre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$ 25.843,5</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45,5</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$ 56.745,2</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$ 716,6</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Noviembre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$ 26.177,3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46,2</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$ 56.698,6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-$ 46,6</w:t>
            </w:r>
          </w:p>
        </w:tc>
      </w:tr>
      <w:tr w:rsidR="004E4A49" w:rsidRPr="00205D81" w:rsidTr="00125D7B">
        <w:trPr>
          <w:trHeight w:val="315"/>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6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$ 26.301,4</w:t>
            </w:r>
          </w:p>
        </w:tc>
        <w:tc>
          <w:tcPr>
            <w:tcW w:w="1200" w:type="dxa"/>
            <w:tcBorders>
              <w:top w:val="nil"/>
              <w:left w:val="nil"/>
              <w:bottom w:val="single" w:sz="8"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47,6</w:t>
            </w:r>
          </w:p>
        </w:tc>
        <w:tc>
          <w:tcPr>
            <w:tcW w:w="12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$ 55.232,0</w:t>
            </w:r>
          </w:p>
        </w:tc>
        <w:tc>
          <w:tcPr>
            <w:tcW w:w="12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-$ 1.466,6</w:t>
            </w:r>
          </w:p>
        </w:tc>
      </w:tr>
      <w:tr w:rsidR="004E4A49" w:rsidRPr="00205D81" w:rsidTr="00125D7B">
        <w:trPr>
          <w:trHeight w:val="300"/>
        </w:trPr>
        <w:tc>
          <w:tcPr>
            <w:tcW w:w="136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2018</w:t>
            </w: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$ 26.929,8</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48,5</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$ 55.574,9</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$ 342,9</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$ 27.440,2</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49,6</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$ 55.290,8</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-$ 284,2</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Marzo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$ 28.072,3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50,8</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$ 55.270,5</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-$ 20,3</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Abril</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$ 28.858,1</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52,2</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$ 55.302,7</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$ 32,3</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Mayo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$ 29.338,8</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53,3</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$ 55.080,9</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-$ 221,9</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Junio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$ 29.598,1</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55,3</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$ 53.566,2</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-$ 1.514,7</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Julio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$ 30.283,8</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57,0</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$ 53.158,4</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-$ 407,8</w:t>
            </w:r>
          </w:p>
        </w:tc>
      </w:tr>
      <w:tr w:rsidR="004E4A49" w:rsidRPr="00205D81" w:rsidTr="00125D7B">
        <w:trPr>
          <w:trHeight w:val="315"/>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Agosto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$ 30.978,8</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59,2</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$ 52.342,4</w:t>
            </w:r>
          </w:p>
        </w:tc>
        <w:tc>
          <w:tcPr>
            <w:tcW w:w="1200" w:type="dxa"/>
            <w:tcBorders>
              <w:top w:val="nil"/>
              <w:left w:val="single" w:sz="8" w:space="0" w:color="auto"/>
              <w:bottom w:val="nil"/>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-$ 816,0</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Septiembre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$ 31.523,6</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63,1</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$ 49.996,0</w:t>
            </w:r>
          </w:p>
        </w:tc>
        <w:tc>
          <w:tcPr>
            <w:tcW w:w="1200" w:type="dxa"/>
            <w:tcBorders>
              <w:top w:val="dashed" w:sz="8" w:space="0" w:color="C00000"/>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-$ 2.346,4</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Octubre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$ 33.154,3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66,5</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$ 49.892,3</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-$ 103,7</w:t>
            </w:r>
          </w:p>
        </w:tc>
      </w:tr>
      <w:tr w:rsidR="004E4A49" w:rsidRPr="00205D81" w:rsidTr="00125D7B">
        <w:trPr>
          <w:trHeight w:val="300"/>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Noviembre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$ 33.733,8</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68,5</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$ 49.212,6</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-$ 679,8</w:t>
            </w:r>
          </w:p>
        </w:tc>
      </w:tr>
      <w:tr w:rsidR="004E4A49" w:rsidRPr="00205D81" w:rsidTr="00125D7B">
        <w:trPr>
          <w:trHeight w:val="315"/>
        </w:trPr>
        <w:tc>
          <w:tcPr>
            <w:tcW w:w="1360" w:type="dxa"/>
            <w:vMerge/>
            <w:tcBorders>
              <w:top w:val="single" w:sz="8" w:space="0" w:color="auto"/>
              <w:left w:val="single" w:sz="8" w:space="0" w:color="auto"/>
              <w:bottom w:val="nil"/>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6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$ 34.339,6</w:t>
            </w:r>
          </w:p>
        </w:tc>
        <w:tc>
          <w:tcPr>
            <w:tcW w:w="1200" w:type="dxa"/>
            <w:tcBorders>
              <w:top w:val="nil"/>
              <w:left w:val="nil"/>
              <w:bottom w:val="single" w:sz="8"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70,3</w:t>
            </w:r>
          </w:p>
        </w:tc>
        <w:tc>
          <w:tcPr>
            <w:tcW w:w="1200" w:type="dxa"/>
            <w:tcBorders>
              <w:top w:val="nil"/>
              <w:left w:val="nil"/>
              <w:bottom w:val="single" w:sz="8"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$ 48.841,2</w:t>
            </w:r>
          </w:p>
        </w:tc>
        <w:tc>
          <w:tcPr>
            <w:tcW w:w="1200" w:type="dxa"/>
            <w:tcBorders>
              <w:top w:val="nil"/>
              <w:left w:val="dashed" w:sz="8" w:space="0" w:color="C00000"/>
              <w:bottom w:val="single" w:sz="8"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-$ 371,3</w:t>
            </w:r>
          </w:p>
        </w:tc>
      </w:tr>
      <w:tr w:rsidR="004E4A49" w:rsidRPr="00205D81" w:rsidTr="00125D7B">
        <w:trPr>
          <w:trHeight w:val="300"/>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2019</w:t>
            </w: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$ 35.362,2</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72,4</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$ 48.875,3</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$ 34,0</w:t>
            </w:r>
          </w:p>
        </w:tc>
      </w:tr>
      <w:tr w:rsidR="004E4A49" w:rsidRPr="00205D81" w:rsidTr="00125D7B">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$ 36.733,7</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75,1</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$ 48.928,3</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$ 53,1</w:t>
            </w:r>
          </w:p>
        </w:tc>
      </w:tr>
      <w:tr w:rsidR="004E4A49" w:rsidRPr="00205D81" w:rsidTr="00125D7B">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Marzo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$ 38.884,4</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78,6</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$ 49.477,7</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$ 549,4</w:t>
            </w:r>
          </w:p>
        </w:tc>
      </w:tr>
      <w:tr w:rsidR="004E4A49" w:rsidRPr="00205D81" w:rsidTr="00125D7B">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Abril</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$ 39.658,2</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81,3</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$ 48.781,9</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-$ 695,9</w:t>
            </w:r>
          </w:p>
        </w:tc>
      </w:tr>
      <w:tr w:rsidR="004E4A49" w:rsidRPr="00205D81" w:rsidTr="00125D7B">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Mayo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$ 40.911,1</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83,8</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$ 48.829,3</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$ 47,5</w:t>
            </w:r>
          </w:p>
        </w:tc>
      </w:tr>
      <w:tr w:rsidR="004E4A49" w:rsidRPr="00205D81" w:rsidTr="00125D7B">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Junio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$ 41.584,2</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86,1</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$ 48.319,4</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-$ 509,9</w:t>
            </w:r>
          </w:p>
        </w:tc>
      </w:tr>
      <w:tr w:rsidR="004E4A49" w:rsidRPr="00205D81" w:rsidTr="00125D7B">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Julio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$ 43.291,0</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88,0</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$ 49.220,8</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$ 901,4</w:t>
            </w:r>
          </w:p>
        </w:tc>
      </w:tr>
      <w:tr w:rsidR="004E4A49" w:rsidRPr="00205D81" w:rsidTr="00125D7B">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Agosto</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$ 44.092,8</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91,4</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$ 48.225,6</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-$ 995,2</w:t>
            </w:r>
          </w:p>
        </w:tc>
      </w:tr>
      <w:tr w:rsidR="004E4A49" w:rsidRPr="00205D81" w:rsidTr="00125D7B">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Septiembre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$ 45.485,2</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96,8</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$ 46.983,3</w:t>
            </w:r>
          </w:p>
        </w:tc>
        <w:tc>
          <w:tcPr>
            <w:tcW w:w="1200" w:type="dxa"/>
            <w:tcBorders>
              <w:top w:val="nil"/>
              <w:left w:val="dashed" w:sz="8" w:space="0" w:color="C00000"/>
              <w:bottom w:val="single" w:sz="4" w:space="0" w:color="auto"/>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-$ 1.242,3</w:t>
            </w:r>
          </w:p>
        </w:tc>
      </w:tr>
      <w:tr w:rsidR="004E4A49" w:rsidRPr="00205D81" w:rsidTr="00125D7B">
        <w:trPr>
          <w:trHeight w:val="315"/>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Octubre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$ 47.834,3</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100,0</w:t>
            </w:r>
          </w:p>
        </w:tc>
        <w:tc>
          <w:tcPr>
            <w:tcW w:w="1200" w:type="dxa"/>
            <w:tcBorders>
              <w:top w:val="nil"/>
              <w:left w:val="nil"/>
              <w:bottom w:val="single" w:sz="4" w:space="0" w:color="auto"/>
              <w:right w:val="nil"/>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$ 47.834,3</w:t>
            </w:r>
          </w:p>
        </w:tc>
        <w:tc>
          <w:tcPr>
            <w:tcW w:w="1200" w:type="dxa"/>
            <w:tcBorders>
              <w:top w:val="nil"/>
              <w:left w:val="dashed" w:sz="8" w:space="0" w:color="C00000"/>
              <w:bottom w:val="dashed" w:sz="8" w:space="0" w:color="C00000"/>
              <w:right w:val="dashed" w:sz="8" w:space="0" w:color="C00000"/>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$ 851,0</w:t>
            </w:r>
          </w:p>
        </w:tc>
      </w:tr>
      <w:tr w:rsidR="004E4A49" w:rsidRPr="00205D81" w:rsidTr="00125D7B">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4"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Noviembre</w:t>
            </w:r>
          </w:p>
        </w:tc>
        <w:tc>
          <w:tcPr>
            <w:tcW w:w="136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single" w:sz="4"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single" w:sz="4"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r>
      <w:tr w:rsidR="004E4A49" w:rsidRPr="00205D81" w:rsidTr="00125D7B">
        <w:trPr>
          <w:trHeight w:val="315"/>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p>
        </w:tc>
        <w:tc>
          <w:tcPr>
            <w:tcW w:w="1540" w:type="dxa"/>
            <w:tcBorders>
              <w:top w:val="nil"/>
              <w:left w:val="nil"/>
              <w:bottom w:val="single" w:sz="8" w:space="0" w:color="auto"/>
              <w:right w:val="single" w:sz="8" w:space="0" w:color="auto"/>
            </w:tcBorders>
            <w:shd w:val="clear" w:color="000000" w:fill="DBE5F1"/>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Diciembre</w:t>
            </w:r>
          </w:p>
        </w:tc>
        <w:tc>
          <w:tcPr>
            <w:tcW w:w="136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single" w:sz="8" w:space="0" w:color="auto"/>
              <w:right w:val="single" w:sz="8" w:space="0" w:color="auto"/>
            </w:tcBorders>
            <w:shd w:val="clear" w:color="000000" w:fill="D8D8D8"/>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single" w:sz="8" w:space="0" w:color="auto"/>
              <w:right w:val="single" w:sz="8" w:space="0" w:color="auto"/>
            </w:tcBorders>
            <w:shd w:val="clear" w:color="auto" w:fill="auto"/>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r>
      <w:tr w:rsidR="004E4A49" w:rsidRPr="00205D81" w:rsidTr="00125D7B">
        <w:trPr>
          <w:trHeight w:val="300"/>
        </w:trPr>
        <w:tc>
          <w:tcPr>
            <w:tcW w:w="1360" w:type="dxa"/>
            <w:vMerge w:val="restart"/>
            <w:tcBorders>
              <w:top w:val="nil"/>
              <w:left w:val="single" w:sz="8" w:space="0" w:color="auto"/>
              <w:bottom w:val="single" w:sz="8" w:space="0" w:color="000000"/>
              <w:right w:val="single" w:sz="8" w:space="0" w:color="auto"/>
            </w:tcBorders>
            <w:shd w:val="clear" w:color="000000" w:fill="FDE9D9"/>
            <w:noWrap/>
            <w:vAlign w:val="center"/>
            <w:hideMark/>
          </w:tcPr>
          <w:p w:rsidR="004E4A49" w:rsidRPr="00205D81" w:rsidRDefault="004E4A49" w:rsidP="00125D7B">
            <w:pPr>
              <w:spacing w:after="0" w:line="240" w:lineRule="auto"/>
              <w:jc w:val="center"/>
              <w:rPr>
                <w:rFonts w:ascii="Calibri" w:eastAsia="Times New Roman" w:hAnsi="Calibri" w:cs="Calibri"/>
                <w:b/>
                <w:bCs/>
                <w:sz w:val="20"/>
                <w:szCs w:val="20"/>
              </w:rPr>
            </w:pPr>
            <w:r w:rsidRPr="00205D81">
              <w:rPr>
                <w:rFonts w:ascii="Calibri" w:eastAsia="Times New Roman" w:hAnsi="Calibri" w:cs="Calibri"/>
                <w:b/>
                <w:bCs/>
                <w:sz w:val="20"/>
                <w:szCs w:val="20"/>
              </w:rPr>
              <w:t>2020</w:t>
            </w:r>
          </w:p>
        </w:tc>
        <w:tc>
          <w:tcPr>
            <w:tcW w:w="154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Enero</w:t>
            </w:r>
          </w:p>
        </w:tc>
        <w:tc>
          <w:tcPr>
            <w:tcW w:w="136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c>
          <w:tcPr>
            <w:tcW w:w="1200" w:type="dxa"/>
            <w:tcBorders>
              <w:top w:val="nil"/>
              <w:left w:val="nil"/>
              <w:bottom w:val="nil"/>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w:t>
            </w:r>
          </w:p>
        </w:tc>
      </w:tr>
      <w:tr w:rsidR="004E4A49" w:rsidRPr="00205D81" w:rsidTr="00125D7B">
        <w:trPr>
          <w:trHeight w:val="315"/>
        </w:trPr>
        <w:tc>
          <w:tcPr>
            <w:tcW w:w="1360" w:type="dxa"/>
            <w:vMerge/>
            <w:tcBorders>
              <w:top w:val="nil"/>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sz w:val="20"/>
                <w:szCs w:val="20"/>
              </w:rPr>
            </w:pPr>
          </w:p>
        </w:tc>
        <w:tc>
          <w:tcPr>
            <w:tcW w:w="154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Febrero (*)</w:t>
            </w:r>
          </w:p>
        </w:tc>
        <w:tc>
          <w:tcPr>
            <w:tcW w:w="136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$ 51.834,3</w:t>
            </w:r>
          </w:p>
        </w:tc>
        <w:tc>
          <w:tcPr>
            <w:tcW w:w="120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100,0</w:t>
            </w:r>
          </w:p>
        </w:tc>
        <w:tc>
          <w:tcPr>
            <w:tcW w:w="120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color w:val="000000"/>
                <w:sz w:val="20"/>
                <w:szCs w:val="20"/>
              </w:rPr>
            </w:pPr>
            <w:r w:rsidRPr="00205D81">
              <w:rPr>
                <w:rFonts w:ascii="Calibri" w:eastAsia="Times New Roman" w:hAnsi="Calibri" w:cs="Calibri"/>
                <w:color w:val="000000"/>
                <w:sz w:val="20"/>
                <w:szCs w:val="20"/>
              </w:rPr>
              <w:t>$ 51.834,3</w:t>
            </w:r>
          </w:p>
        </w:tc>
        <w:tc>
          <w:tcPr>
            <w:tcW w:w="1200" w:type="dxa"/>
            <w:tcBorders>
              <w:top w:val="dotted" w:sz="4" w:space="0" w:color="auto"/>
              <w:left w:val="nil"/>
              <w:bottom w:val="single" w:sz="8" w:space="0" w:color="auto"/>
              <w:right w:val="single" w:sz="8" w:space="0" w:color="auto"/>
            </w:tcBorders>
            <w:shd w:val="clear" w:color="000000" w:fill="FDE9D9"/>
            <w:noWrap/>
            <w:vAlign w:val="bottom"/>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$ 4.000,0</w:t>
            </w:r>
          </w:p>
        </w:tc>
      </w:tr>
      <w:tr w:rsidR="004E4A49" w:rsidRPr="00205D81" w:rsidTr="00125D7B">
        <w:trPr>
          <w:trHeight w:val="315"/>
        </w:trPr>
        <w:tc>
          <w:tcPr>
            <w:tcW w:w="2900" w:type="dxa"/>
            <w:gridSpan w:val="2"/>
            <w:tcBorders>
              <w:top w:val="single" w:sz="8" w:space="0" w:color="auto"/>
              <w:left w:val="single" w:sz="8" w:space="0" w:color="auto"/>
              <w:bottom w:val="single" w:sz="8" w:space="0" w:color="auto"/>
              <w:right w:val="single" w:sz="8" w:space="0" w:color="000000"/>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Variación Anual</w:t>
            </w:r>
          </w:p>
        </w:tc>
        <w:tc>
          <w:tcPr>
            <w:tcW w:w="1360" w:type="dxa"/>
            <w:tcBorders>
              <w:top w:val="nil"/>
              <w:left w:val="nil"/>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39,3%</w:t>
            </w:r>
          </w:p>
        </w:tc>
        <w:tc>
          <w:tcPr>
            <w:tcW w:w="1200" w:type="dxa"/>
            <w:tcBorders>
              <w:top w:val="nil"/>
              <w:left w:val="single" w:sz="8" w:space="0" w:color="auto"/>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42,2%</w:t>
            </w:r>
          </w:p>
        </w:tc>
        <w:tc>
          <w:tcPr>
            <w:tcW w:w="1200" w:type="dxa"/>
            <w:tcBorders>
              <w:top w:val="nil"/>
              <w:left w:val="single" w:sz="8" w:space="0" w:color="auto"/>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-2,1%</w:t>
            </w:r>
          </w:p>
        </w:tc>
        <w:tc>
          <w:tcPr>
            <w:tcW w:w="1200" w:type="dxa"/>
            <w:tcBorders>
              <w:top w:val="nil"/>
              <w:left w:val="single" w:sz="8" w:space="0" w:color="auto"/>
              <w:bottom w:val="nil"/>
              <w:right w:val="single" w:sz="8" w:space="0" w:color="auto"/>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315"/>
        </w:trPr>
        <w:tc>
          <w:tcPr>
            <w:tcW w:w="2900" w:type="dxa"/>
            <w:gridSpan w:val="2"/>
            <w:tcBorders>
              <w:top w:val="single" w:sz="8" w:space="0" w:color="auto"/>
              <w:left w:val="single" w:sz="8" w:space="0" w:color="auto"/>
              <w:bottom w:val="single" w:sz="8" w:space="0" w:color="auto"/>
              <w:right w:val="single" w:sz="8" w:space="0" w:color="000000"/>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Variación Bienal</w:t>
            </w:r>
          </w:p>
        </w:tc>
        <w:tc>
          <w:tcPr>
            <w:tcW w:w="1360" w:type="dxa"/>
            <w:tcBorders>
              <w:top w:val="nil"/>
              <w:left w:val="nil"/>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81,9%</w:t>
            </w:r>
          </w:p>
        </w:tc>
        <w:tc>
          <w:tcPr>
            <w:tcW w:w="1200" w:type="dxa"/>
            <w:tcBorders>
              <w:top w:val="nil"/>
              <w:left w:val="single" w:sz="8" w:space="0" w:color="auto"/>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110,0%</w:t>
            </w:r>
          </w:p>
        </w:tc>
        <w:tc>
          <w:tcPr>
            <w:tcW w:w="1200" w:type="dxa"/>
            <w:tcBorders>
              <w:top w:val="nil"/>
              <w:left w:val="single" w:sz="8" w:space="0" w:color="auto"/>
              <w:bottom w:val="single" w:sz="8" w:space="0" w:color="auto"/>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-13,4%</w:t>
            </w:r>
          </w:p>
        </w:tc>
        <w:tc>
          <w:tcPr>
            <w:tcW w:w="1200" w:type="dxa"/>
            <w:tcBorders>
              <w:top w:val="nil"/>
              <w:left w:val="single" w:sz="8" w:space="0" w:color="auto"/>
              <w:bottom w:val="nil"/>
              <w:right w:val="single" w:sz="8" w:space="0" w:color="auto"/>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315"/>
        </w:trPr>
        <w:tc>
          <w:tcPr>
            <w:tcW w:w="2900" w:type="dxa"/>
            <w:gridSpan w:val="2"/>
            <w:tcBorders>
              <w:top w:val="single" w:sz="8" w:space="0" w:color="auto"/>
              <w:left w:val="single" w:sz="8" w:space="0" w:color="auto"/>
              <w:bottom w:val="single" w:sz="8" w:space="0" w:color="auto"/>
              <w:right w:val="single" w:sz="8" w:space="0" w:color="000000"/>
            </w:tcBorders>
            <w:shd w:val="clear" w:color="000000" w:fill="4F81BD"/>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Variación Gestión Macri</w:t>
            </w:r>
          </w:p>
        </w:tc>
        <w:tc>
          <w:tcPr>
            <w:tcW w:w="1360" w:type="dxa"/>
            <w:tcBorders>
              <w:top w:val="nil"/>
              <w:left w:val="nil"/>
              <w:bottom w:val="nil"/>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202,7%</w:t>
            </w:r>
          </w:p>
        </w:tc>
        <w:tc>
          <w:tcPr>
            <w:tcW w:w="1200" w:type="dxa"/>
            <w:tcBorders>
              <w:top w:val="nil"/>
              <w:left w:val="single" w:sz="8" w:space="0" w:color="auto"/>
              <w:bottom w:val="nil"/>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265,2%</w:t>
            </w:r>
          </w:p>
        </w:tc>
        <w:tc>
          <w:tcPr>
            <w:tcW w:w="1200" w:type="dxa"/>
            <w:tcBorders>
              <w:top w:val="nil"/>
              <w:left w:val="single" w:sz="8" w:space="0" w:color="auto"/>
              <w:bottom w:val="nil"/>
              <w:right w:val="nil"/>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-17,1%</w:t>
            </w:r>
          </w:p>
        </w:tc>
        <w:tc>
          <w:tcPr>
            <w:tcW w:w="1200" w:type="dxa"/>
            <w:tcBorders>
              <w:top w:val="nil"/>
              <w:left w:val="single" w:sz="8" w:space="0" w:color="auto"/>
              <w:bottom w:val="nil"/>
              <w:right w:val="single" w:sz="8" w:space="0" w:color="auto"/>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585"/>
        </w:trPr>
        <w:tc>
          <w:tcPr>
            <w:tcW w:w="2900" w:type="dxa"/>
            <w:gridSpan w:val="2"/>
            <w:tcBorders>
              <w:top w:val="single" w:sz="8" w:space="0" w:color="auto"/>
              <w:left w:val="single" w:sz="8" w:space="0" w:color="auto"/>
              <w:bottom w:val="single" w:sz="8" w:space="0" w:color="auto"/>
              <w:right w:val="single" w:sz="8" w:space="0" w:color="000000"/>
            </w:tcBorders>
            <w:shd w:val="clear" w:color="000000" w:fill="A5A5A5"/>
            <w:vAlign w:val="center"/>
            <w:hideMark/>
          </w:tcPr>
          <w:p w:rsidR="004E4A49" w:rsidRPr="00205D81" w:rsidRDefault="004E4A49" w:rsidP="00125D7B">
            <w:pPr>
              <w:spacing w:after="0" w:line="240" w:lineRule="auto"/>
              <w:jc w:val="center"/>
              <w:rPr>
                <w:rFonts w:ascii="Calibri" w:eastAsia="Times New Roman" w:hAnsi="Calibri" w:cs="Calibri"/>
                <w:b/>
                <w:bCs/>
                <w:i/>
                <w:iCs/>
                <w:color w:val="FFFFFF"/>
                <w:sz w:val="20"/>
                <w:szCs w:val="20"/>
              </w:rPr>
            </w:pPr>
            <w:r w:rsidRPr="00205D81">
              <w:rPr>
                <w:rFonts w:ascii="Calibri" w:eastAsia="Times New Roman" w:hAnsi="Calibri" w:cs="Calibri"/>
                <w:b/>
                <w:bCs/>
                <w:i/>
                <w:iCs/>
                <w:color w:val="FFFFFF"/>
                <w:sz w:val="20"/>
                <w:szCs w:val="20"/>
              </w:rPr>
              <w:t>Pérdida acumulada</w:t>
            </w:r>
            <w:r w:rsidRPr="00205D81">
              <w:rPr>
                <w:rFonts w:ascii="Calibri" w:eastAsia="Times New Roman" w:hAnsi="Calibri" w:cs="Calibri"/>
                <w:b/>
                <w:bCs/>
                <w:i/>
                <w:iCs/>
                <w:color w:val="FFFFFF"/>
                <w:sz w:val="20"/>
                <w:szCs w:val="20"/>
              </w:rPr>
              <w:br/>
              <w:t>(desde Julio 2018)</w:t>
            </w:r>
          </w:p>
        </w:tc>
        <w:tc>
          <w:tcPr>
            <w:tcW w:w="4960" w:type="dxa"/>
            <w:gridSpan w:val="4"/>
            <w:tcBorders>
              <w:top w:val="single" w:sz="8" w:space="0" w:color="auto"/>
              <w:left w:val="nil"/>
              <w:bottom w:val="single" w:sz="8" w:space="0" w:color="auto"/>
              <w:right w:val="single" w:sz="8" w:space="0" w:color="000000"/>
            </w:tcBorders>
            <w:shd w:val="clear" w:color="000000" w:fill="DBE5F1"/>
            <w:noWrap/>
            <w:vAlign w:val="center"/>
            <w:hideMark/>
          </w:tcPr>
          <w:p w:rsidR="004E4A49" w:rsidRPr="00205D81" w:rsidRDefault="004E4A49" w:rsidP="00125D7B">
            <w:pPr>
              <w:spacing w:after="0" w:line="240" w:lineRule="auto"/>
              <w:jc w:val="center"/>
              <w:rPr>
                <w:rFonts w:ascii="Calibri" w:eastAsia="Times New Roman" w:hAnsi="Calibri" w:cs="Calibri"/>
                <w:b/>
                <w:bCs/>
                <w:i/>
                <w:iCs/>
                <w:sz w:val="20"/>
                <w:szCs w:val="20"/>
              </w:rPr>
            </w:pPr>
            <w:r w:rsidRPr="00205D81">
              <w:rPr>
                <w:rFonts w:ascii="Calibri" w:eastAsia="Times New Roman" w:hAnsi="Calibri" w:cs="Calibri"/>
                <w:b/>
                <w:bCs/>
                <w:i/>
                <w:iCs/>
                <w:sz w:val="20"/>
                <w:szCs w:val="20"/>
              </w:rPr>
              <w:t>$ 4.508,1</w:t>
            </w:r>
          </w:p>
        </w:tc>
      </w:tr>
      <w:tr w:rsidR="004E4A49" w:rsidRPr="00205D81" w:rsidTr="00125D7B">
        <w:trPr>
          <w:trHeight w:val="525"/>
        </w:trPr>
        <w:tc>
          <w:tcPr>
            <w:tcW w:w="1360" w:type="dxa"/>
            <w:vMerge w:val="restart"/>
            <w:tcBorders>
              <w:top w:val="nil"/>
              <w:left w:val="single" w:sz="8" w:space="0" w:color="auto"/>
              <w:bottom w:val="single" w:sz="8" w:space="0" w:color="000000"/>
              <w:right w:val="single" w:sz="8" w:space="0" w:color="auto"/>
            </w:tcBorders>
            <w:shd w:val="clear" w:color="000000" w:fill="00B050"/>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Con aumento remunerativo</w:t>
            </w:r>
          </w:p>
        </w:tc>
        <w:tc>
          <w:tcPr>
            <w:tcW w:w="1540" w:type="dxa"/>
            <w:tcBorders>
              <w:top w:val="nil"/>
              <w:left w:val="nil"/>
              <w:bottom w:val="single" w:sz="8" w:space="0" w:color="auto"/>
              <w:right w:val="nil"/>
            </w:tcBorders>
            <w:shd w:val="clear" w:color="000000" w:fill="00B050"/>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 xml:space="preserve">Variación </w:t>
            </w:r>
            <w:r w:rsidRPr="00205D81">
              <w:rPr>
                <w:rFonts w:ascii="Calibri" w:eastAsia="Times New Roman" w:hAnsi="Calibri" w:cs="Calibri"/>
                <w:b/>
                <w:bCs/>
                <w:color w:val="FFFFFF"/>
                <w:sz w:val="20"/>
                <w:szCs w:val="20"/>
              </w:rPr>
              <w:br/>
              <w:t>Anual</w:t>
            </w:r>
          </w:p>
        </w:tc>
        <w:tc>
          <w:tcPr>
            <w:tcW w:w="2560" w:type="dxa"/>
            <w:gridSpan w:val="2"/>
            <w:tcBorders>
              <w:top w:val="single" w:sz="8" w:space="0" w:color="auto"/>
              <w:left w:val="single" w:sz="8" w:space="0" w:color="auto"/>
              <w:bottom w:val="single" w:sz="8" w:space="0" w:color="auto"/>
              <w:right w:val="single" w:sz="8" w:space="0" w:color="000000"/>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50,9%</w:t>
            </w:r>
          </w:p>
        </w:tc>
        <w:tc>
          <w:tcPr>
            <w:tcW w:w="1200" w:type="dxa"/>
            <w:tcBorders>
              <w:top w:val="nil"/>
              <w:left w:val="nil"/>
              <w:bottom w:val="single" w:sz="8" w:space="0" w:color="auto"/>
              <w:right w:val="nil"/>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6,1%</w:t>
            </w:r>
          </w:p>
        </w:tc>
        <w:tc>
          <w:tcPr>
            <w:tcW w:w="1200" w:type="dxa"/>
            <w:tcBorders>
              <w:top w:val="nil"/>
              <w:left w:val="single" w:sz="8" w:space="0" w:color="auto"/>
              <w:bottom w:val="nil"/>
              <w:right w:val="single" w:sz="8" w:space="0" w:color="auto"/>
            </w:tcBorders>
            <w:shd w:val="clear" w:color="000000" w:fill="EAF1DD"/>
            <w:noWrap/>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525"/>
        </w:trPr>
        <w:tc>
          <w:tcPr>
            <w:tcW w:w="1360" w:type="dxa"/>
            <w:vMerge/>
            <w:tcBorders>
              <w:top w:val="nil"/>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FFFFFF"/>
                <w:sz w:val="20"/>
                <w:szCs w:val="20"/>
              </w:rPr>
            </w:pPr>
          </w:p>
        </w:tc>
        <w:tc>
          <w:tcPr>
            <w:tcW w:w="1540" w:type="dxa"/>
            <w:tcBorders>
              <w:top w:val="nil"/>
              <w:left w:val="nil"/>
              <w:bottom w:val="single" w:sz="8" w:space="0" w:color="auto"/>
              <w:right w:val="nil"/>
            </w:tcBorders>
            <w:shd w:val="clear" w:color="000000" w:fill="00B050"/>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 xml:space="preserve">Variación </w:t>
            </w:r>
            <w:r w:rsidRPr="00205D81">
              <w:rPr>
                <w:rFonts w:ascii="Calibri" w:eastAsia="Times New Roman" w:hAnsi="Calibri" w:cs="Calibri"/>
                <w:b/>
                <w:bCs/>
                <w:color w:val="FFFFFF"/>
                <w:sz w:val="20"/>
                <w:szCs w:val="20"/>
              </w:rPr>
              <w:br/>
              <w:t>Bienal</w:t>
            </w:r>
          </w:p>
        </w:tc>
        <w:tc>
          <w:tcPr>
            <w:tcW w:w="2560" w:type="dxa"/>
            <w:gridSpan w:val="2"/>
            <w:tcBorders>
              <w:top w:val="single" w:sz="8" w:space="0" w:color="auto"/>
              <w:left w:val="single" w:sz="8" w:space="0" w:color="auto"/>
              <w:bottom w:val="single" w:sz="8" w:space="0" w:color="auto"/>
              <w:right w:val="single" w:sz="8" w:space="0" w:color="000000"/>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97,1%</w:t>
            </w:r>
          </w:p>
        </w:tc>
        <w:tc>
          <w:tcPr>
            <w:tcW w:w="1200" w:type="dxa"/>
            <w:tcBorders>
              <w:top w:val="nil"/>
              <w:left w:val="nil"/>
              <w:bottom w:val="single" w:sz="8" w:space="0" w:color="auto"/>
              <w:right w:val="nil"/>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-6,2%</w:t>
            </w:r>
          </w:p>
        </w:tc>
        <w:tc>
          <w:tcPr>
            <w:tcW w:w="1200" w:type="dxa"/>
            <w:tcBorders>
              <w:top w:val="nil"/>
              <w:left w:val="single" w:sz="8" w:space="0" w:color="auto"/>
              <w:bottom w:val="nil"/>
              <w:right w:val="single" w:sz="8" w:space="0" w:color="auto"/>
            </w:tcBorders>
            <w:shd w:val="clear" w:color="000000" w:fill="EAF1DD"/>
            <w:noWrap/>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r w:rsidR="004E4A49" w:rsidRPr="00205D81" w:rsidTr="00125D7B">
        <w:trPr>
          <w:trHeight w:val="525"/>
        </w:trPr>
        <w:tc>
          <w:tcPr>
            <w:tcW w:w="1360" w:type="dxa"/>
            <w:vMerge/>
            <w:tcBorders>
              <w:top w:val="nil"/>
              <w:left w:val="single" w:sz="8" w:space="0" w:color="auto"/>
              <w:bottom w:val="single" w:sz="8" w:space="0" w:color="000000"/>
              <w:right w:val="single" w:sz="8" w:space="0" w:color="auto"/>
            </w:tcBorders>
            <w:vAlign w:val="center"/>
            <w:hideMark/>
          </w:tcPr>
          <w:p w:rsidR="004E4A49" w:rsidRPr="00205D81" w:rsidRDefault="004E4A49" w:rsidP="00125D7B">
            <w:pPr>
              <w:spacing w:after="0" w:line="240" w:lineRule="auto"/>
              <w:rPr>
                <w:rFonts w:ascii="Calibri" w:eastAsia="Times New Roman" w:hAnsi="Calibri" w:cs="Calibri"/>
                <w:b/>
                <w:bCs/>
                <w:color w:val="FFFFFF"/>
                <w:sz w:val="20"/>
                <w:szCs w:val="20"/>
              </w:rPr>
            </w:pPr>
          </w:p>
        </w:tc>
        <w:tc>
          <w:tcPr>
            <w:tcW w:w="1540" w:type="dxa"/>
            <w:tcBorders>
              <w:top w:val="nil"/>
              <w:left w:val="nil"/>
              <w:bottom w:val="single" w:sz="8" w:space="0" w:color="auto"/>
              <w:right w:val="single" w:sz="8" w:space="0" w:color="auto"/>
            </w:tcBorders>
            <w:shd w:val="clear" w:color="000000" w:fill="00B050"/>
            <w:vAlign w:val="center"/>
            <w:hideMark/>
          </w:tcPr>
          <w:p w:rsidR="004E4A49" w:rsidRPr="00205D81" w:rsidRDefault="004E4A49" w:rsidP="00125D7B">
            <w:pPr>
              <w:spacing w:after="0" w:line="240" w:lineRule="auto"/>
              <w:jc w:val="center"/>
              <w:rPr>
                <w:rFonts w:ascii="Calibri" w:eastAsia="Times New Roman" w:hAnsi="Calibri" w:cs="Calibri"/>
                <w:b/>
                <w:bCs/>
                <w:color w:val="FFFFFF"/>
                <w:sz w:val="20"/>
                <w:szCs w:val="20"/>
              </w:rPr>
            </w:pPr>
            <w:r w:rsidRPr="00205D81">
              <w:rPr>
                <w:rFonts w:ascii="Calibri" w:eastAsia="Times New Roman" w:hAnsi="Calibri" w:cs="Calibri"/>
                <w:b/>
                <w:bCs/>
                <w:color w:val="FFFFFF"/>
                <w:sz w:val="20"/>
                <w:szCs w:val="20"/>
              </w:rPr>
              <w:t xml:space="preserve">Variación </w:t>
            </w:r>
            <w:r w:rsidRPr="00205D81">
              <w:rPr>
                <w:rFonts w:ascii="Calibri" w:eastAsia="Times New Roman" w:hAnsi="Calibri" w:cs="Calibri"/>
                <w:b/>
                <w:bCs/>
                <w:color w:val="FFFFFF"/>
                <w:sz w:val="20"/>
                <w:szCs w:val="20"/>
              </w:rPr>
              <w:br/>
              <w:t>Gestión Macri</w:t>
            </w:r>
          </w:p>
        </w:tc>
        <w:tc>
          <w:tcPr>
            <w:tcW w:w="2560" w:type="dxa"/>
            <w:gridSpan w:val="2"/>
            <w:tcBorders>
              <w:top w:val="single" w:sz="8" w:space="0" w:color="auto"/>
              <w:left w:val="nil"/>
              <w:bottom w:val="single" w:sz="8" w:space="0" w:color="auto"/>
              <w:right w:val="single" w:sz="8" w:space="0" w:color="000000"/>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228,0%</w:t>
            </w:r>
          </w:p>
        </w:tc>
        <w:tc>
          <w:tcPr>
            <w:tcW w:w="1200" w:type="dxa"/>
            <w:tcBorders>
              <w:top w:val="nil"/>
              <w:left w:val="nil"/>
              <w:bottom w:val="single" w:sz="8" w:space="0" w:color="auto"/>
              <w:right w:val="nil"/>
            </w:tcBorders>
            <w:shd w:val="clear" w:color="000000" w:fill="EAF1DD"/>
            <w:noWrap/>
            <w:vAlign w:val="center"/>
            <w:hideMark/>
          </w:tcPr>
          <w:p w:rsidR="004E4A49" w:rsidRPr="00205D81" w:rsidRDefault="004E4A49" w:rsidP="00125D7B">
            <w:pPr>
              <w:spacing w:after="0" w:line="240" w:lineRule="auto"/>
              <w:jc w:val="center"/>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-10,2%</w:t>
            </w:r>
          </w:p>
        </w:tc>
        <w:tc>
          <w:tcPr>
            <w:tcW w:w="1200" w:type="dxa"/>
            <w:tcBorders>
              <w:top w:val="nil"/>
              <w:left w:val="single" w:sz="8" w:space="0" w:color="auto"/>
              <w:bottom w:val="single" w:sz="8" w:space="0" w:color="auto"/>
              <w:right w:val="single" w:sz="8" w:space="0" w:color="auto"/>
            </w:tcBorders>
            <w:shd w:val="clear" w:color="000000" w:fill="EAF1DD"/>
            <w:noWrap/>
            <w:vAlign w:val="center"/>
            <w:hideMark/>
          </w:tcPr>
          <w:p w:rsidR="004E4A49" w:rsidRPr="00205D81" w:rsidRDefault="004E4A49" w:rsidP="00125D7B">
            <w:pPr>
              <w:spacing w:after="0" w:line="240" w:lineRule="auto"/>
              <w:rPr>
                <w:rFonts w:ascii="Calibri" w:eastAsia="Times New Roman" w:hAnsi="Calibri" w:cs="Calibri"/>
                <w:b/>
                <w:bCs/>
                <w:color w:val="000000"/>
                <w:sz w:val="20"/>
                <w:szCs w:val="20"/>
              </w:rPr>
            </w:pPr>
            <w:r w:rsidRPr="00205D81">
              <w:rPr>
                <w:rFonts w:ascii="Calibri" w:eastAsia="Times New Roman" w:hAnsi="Calibri" w:cs="Calibri"/>
                <w:b/>
                <w:bCs/>
                <w:color w:val="000000"/>
                <w:sz w:val="20"/>
                <w:szCs w:val="20"/>
              </w:rPr>
              <w:t> </w:t>
            </w:r>
          </w:p>
        </w:tc>
      </w:tr>
    </w:tbl>
    <w:p w:rsidR="004E4A49" w:rsidRPr="004E4A49" w:rsidRDefault="004E4A49" w:rsidP="004E4A49">
      <w:pPr>
        <w:rPr>
          <w:sz w:val="20"/>
        </w:rPr>
      </w:pPr>
      <w:r w:rsidRPr="004E4A49">
        <w:rPr>
          <w:sz w:val="20"/>
        </w:rPr>
        <w:t xml:space="preserve">Fuente: Elaboración propia en base a RIPTE - </w:t>
      </w:r>
      <w:r w:rsidR="00314CEB" w:rsidRPr="004E4A49">
        <w:rPr>
          <w:sz w:val="20"/>
        </w:rPr>
        <w:t>MTEySS.</w:t>
      </w:r>
    </w:p>
    <w:p w:rsidR="00080A00" w:rsidRDefault="004E4A49">
      <w:r w:rsidRPr="004E4A49">
        <w:rPr>
          <w:sz w:val="20"/>
        </w:rPr>
        <w:t>(*) Simulación de aumento salarial -nominal- remunerativo a febrero 2020 dada la suma fija de $4000, con la última información disponible de la remuneración promedio e IPC.</w:t>
      </w:r>
    </w:p>
    <w:p w:rsidR="00080A00" w:rsidRDefault="00080A00"/>
    <w:sectPr w:rsidR="00080A00" w:rsidSect="00173C8A">
      <w:footerReference w:type="default" r:id="rId13"/>
      <w:pgSz w:w="11906" w:h="16838"/>
      <w:pgMar w:top="1417" w:right="1700"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439" w:rsidRDefault="00DA0439" w:rsidP="00B14754">
      <w:pPr>
        <w:spacing w:after="0" w:line="240" w:lineRule="auto"/>
      </w:pPr>
      <w:r>
        <w:separator/>
      </w:r>
    </w:p>
  </w:endnote>
  <w:endnote w:type="continuationSeparator" w:id="0">
    <w:p w:rsidR="00DA0439" w:rsidRDefault="00DA0439" w:rsidP="00B147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9266"/>
      <w:docPartObj>
        <w:docPartGallery w:val="Page Numbers (Bottom of Page)"/>
        <w:docPartUnique/>
      </w:docPartObj>
    </w:sdtPr>
    <w:sdtContent>
      <w:p w:rsidR="00125D7B" w:rsidRDefault="00202CB5">
        <w:pPr>
          <w:pStyle w:val="Piedepgina"/>
          <w:jc w:val="center"/>
        </w:pPr>
        <w:r>
          <w:fldChar w:fldCharType="begin"/>
        </w:r>
        <w:r w:rsidR="00125D7B">
          <w:instrText xml:space="preserve"> PAGE   \* MERGEFORMAT </w:instrText>
        </w:r>
        <w:r>
          <w:fldChar w:fldCharType="separate"/>
        </w:r>
        <w:r w:rsidR="00DA0439">
          <w:rPr>
            <w:noProof/>
          </w:rPr>
          <w:t>1</w:t>
        </w:r>
        <w:r>
          <w:rPr>
            <w:noProof/>
          </w:rPr>
          <w:fldChar w:fldCharType="end"/>
        </w:r>
      </w:p>
    </w:sdtContent>
  </w:sdt>
  <w:p w:rsidR="00125D7B" w:rsidRDefault="00125D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439" w:rsidRDefault="00DA0439" w:rsidP="00B14754">
      <w:pPr>
        <w:spacing w:after="0" w:line="240" w:lineRule="auto"/>
      </w:pPr>
      <w:r>
        <w:separator/>
      </w:r>
    </w:p>
  </w:footnote>
  <w:footnote w:type="continuationSeparator" w:id="0">
    <w:p w:rsidR="00DA0439" w:rsidRDefault="00DA0439" w:rsidP="00B14754">
      <w:pPr>
        <w:spacing w:after="0" w:line="240" w:lineRule="auto"/>
      </w:pPr>
      <w:r>
        <w:continuationSeparator/>
      </w:r>
    </w:p>
  </w:footnote>
  <w:footnote w:id="1">
    <w:p w:rsidR="00125D7B" w:rsidRPr="00424831" w:rsidRDefault="00125D7B" w:rsidP="000C46E1">
      <w:pPr>
        <w:pStyle w:val="Textonotapie"/>
        <w:ind w:right="-1"/>
        <w:jc w:val="both"/>
        <w:rPr>
          <w:lang w:val="es-ES_tradnl"/>
        </w:rPr>
      </w:pPr>
      <w:r>
        <w:rPr>
          <w:rStyle w:val="Refdenotaalpie"/>
        </w:rPr>
        <w:footnoteRef/>
      </w:r>
      <w:r>
        <w:rPr>
          <w:lang w:val="es-ES_tradnl"/>
        </w:rPr>
        <w:t>Quedan por fuera algunos regímenes especiales del sector privado como el de empleadas de casas particulares y el régimen agrario, así como todo el conjunto de ocupaciones que revisten maniobras de contratación fraudulenta (inclusive el monotributista).</w:t>
      </w:r>
    </w:p>
  </w:footnote>
  <w:footnote w:id="2">
    <w:p w:rsidR="00125D7B" w:rsidRPr="008148AA" w:rsidRDefault="00125D7B" w:rsidP="000C46E1">
      <w:pPr>
        <w:pStyle w:val="Textonotapie"/>
        <w:ind w:right="-1"/>
        <w:jc w:val="both"/>
        <w:rPr>
          <w:lang w:val="es-ES_tradnl"/>
        </w:rPr>
      </w:pPr>
      <w:r>
        <w:rPr>
          <w:rStyle w:val="Refdenotaalpie"/>
        </w:rPr>
        <w:footnoteRef/>
      </w:r>
      <w:r>
        <w:rPr>
          <w:lang w:val="es-ES_tradnl"/>
        </w:rPr>
        <w:t>Si consideramos que, para los asalariados no registrados la asignación universal por hijo (destinada a los hijos/as de desocupados y trabajadores informales) resulta ser el canal más efectivo para realizar transferencias de ingresos desde el estado. Aceptado lo anterior entonces podemos destacar que se otorgó, hasta el momento, un único bono de $2.000 por hijo como pago extraordinario. De todos modos, restan definiciones acerca del salario mínimo que tienen impacto directo en una parte importante de los trabajadores de la economía popular a través del Salario Social Complementario y el Argentina Trabaja.</w:t>
      </w:r>
    </w:p>
  </w:footnote>
  <w:footnote w:id="3">
    <w:p w:rsidR="00125D7B" w:rsidRPr="004A70D5" w:rsidRDefault="00125D7B" w:rsidP="00B14754">
      <w:pPr>
        <w:pStyle w:val="Textonotapie"/>
        <w:rPr>
          <w:lang w:val="es-ES_tradnl"/>
        </w:rPr>
      </w:pPr>
      <w:r>
        <w:rPr>
          <w:rStyle w:val="Refdenotaalpie"/>
        </w:rPr>
        <w:footnoteRef/>
      </w:r>
      <w:r>
        <w:rPr>
          <w:lang w:val="es-ES_tradnl"/>
        </w:rPr>
        <w:t>Se establecerá un primer aumento en enero de $3.000 y de $1.000 al mes siguiente.</w:t>
      </w:r>
    </w:p>
  </w:footnote>
  <w:footnote w:id="4">
    <w:p w:rsidR="00125D7B" w:rsidRPr="00537921" w:rsidRDefault="00125D7B" w:rsidP="00B14754">
      <w:pPr>
        <w:pStyle w:val="Textonotapie"/>
        <w:rPr>
          <w:lang w:val="es-ES_tradnl"/>
        </w:rPr>
      </w:pPr>
      <w:r>
        <w:rPr>
          <w:rStyle w:val="Refdenotaalpie"/>
        </w:rPr>
        <w:footnoteRef/>
      </w:r>
      <w:r>
        <w:rPr>
          <w:lang w:val="es-ES_tradnl"/>
        </w:rPr>
        <w:t>Del 12% aunque no conocemos hasta el momento el correspondiente a los salarios.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B14754"/>
    <w:rsid w:val="00053A52"/>
    <w:rsid w:val="00080A00"/>
    <w:rsid w:val="000C46E1"/>
    <w:rsid w:val="000C7EFE"/>
    <w:rsid w:val="00125D7B"/>
    <w:rsid w:val="00173C8A"/>
    <w:rsid w:val="001959B6"/>
    <w:rsid w:val="001A1BA4"/>
    <w:rsid w:val="001A41A5"/>
    <w:rsid w:val="001F65AB"/>
    <w:rsid w:val="00202CB5"/>
    <w:rsid w:val="00202D10"/>
    <w:rsid w:val="0024024F"/>
    <w:rsid w:val="002460C6"/>
    <w:rsid w:val="00283D9B"/>
    <w:rsid w:val="002B2410"/>
    <w:rsid w:val="002C5F09"/>
    <w:rsid w:val="00314CEB"/>
    <w:rsid w:val="003446BE"/>
    <w:rsid w:val="003475EF"/>
    <w:rsid w:val="00355ACE"/>
    <w:rsid w:val="003732D6"/>
    <w:rsid w:val="00381349"/>
    <w:rsid w:val="003958CE"/>
    <w:rsid w:val="003C2C28"/>
    <w:rsid w:val="003E164D"/>
    <w:rsid w:val="003E5A78"/>
    <w:rsid w:val="004327DC"/>
    <w:rsid w:val="004468CF"/>
    <w:rsid w:val="004C1BD7"/>
    <w:rsid w:val="004E4A49"/>
    <w:rsid w:val="005263CE"/>
    <w:rsid w:val="005E36AC"/>
    <w:rsid w:val="005F2645"/>
    <w:rsid w:val="0061470D"/>
    <w:rsid w:val="00627EDD"/>
    <w:rsid w:val="00656186"/>
    <w:rsid w:val="00686407"/>
    <w:rsid w:val="006A3CE1"/>
    <w:rsid w:val="006F02EF"/>
    <w:rsid w:val="0078636E"/>
    <w:rsid w:val="00787ED4"/>
    <w:rsid w:val="007B4153"/>
    <w:rsid w:val="007E4865"/>
    <w:rsid w:val="00826D57"/>
    <w:rsid w:val="008A1939"/>
    <w:rsid w:val="008B6B45"/>
    <w:rsid w:val="00926618"/>
    <w:rsid w:val="00936C61"/>
    <w:rsid w:val="009536E2"/>
    <w:rsid w:val="009F6862"/>
    <w:rsid w:val="00A24021"/>
    <w:rsid w:val="00A2709D"/>
    <w:rsid w:val="00A731C2"/>
    <w:rsid w:val="00AD21A2"/>
    <w:rsid w:val="00B051FD"/>
    <w:rsid w:val="00B14754"/>
    <w:rsid w:val="00B811C5"/>
    <w:rsid w:val="00BA7CF7"/>
    <w:rsid w:val="00C276DB"/>
    <w:rsid w:val="00C3234A"/>
    <w:rsid w:val="00C406D7"/>
    <w:rsid w:val="00CA7146"/>
    <w:rsid w:val="00CC032F"/>
    <w:rsid w:val="00CE2825"/>
    <w:rsid w:val="00CF0A5B"/>
    <w:rsid w:val="00CF38BD"/>
    <w:rsid w:val="00CF45BD"/>
    <w:rsid w:val="00D261C4"/>
    <w:rsid w:val="00D66E2F"/>
    <w:rsid w:val="00DA0439"/>
    <w:rsid w:val="00E92931"/>
    <w:rsid w:val="00E92E92"/>
    <w:rsid w:val="00EE4D57"/>
    <w:rsid w:val="00F25733"/>
    <w:rsid w:val="00F470DA"/>
    <w:rsid w:val="00FD25AD"/>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ind w:firstLine="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754"/>
    <w:pPr>
      <w:spacing w:after="200" w:line="276" w:lineRule="auto"/>
      <w:ind w:firstLine="0"/>
      <w:jc w:val="left"/>
    </w:pPr>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B147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4754"/>
    <w:rPr>
      <w:rFonts w:eastAsiaTheme="minorEastAsia"/>
      <w:sz w:val="20"/>
      <w:szCs w:val="20"/>
      <w:lang w:val="es-ES" w:eastAsia="es-ES"/>
    </w:rPr>
  </w:style>
  <w:style w:type="character" w:styleId="Refdenotaalpie">
    <w:name w:val="footnote reference"/>
    <w:basedOn w:val="Fuentedeprrafopredeter"/>
    <w:uiPriority w:val="99"/>
    <w:semiHidden/>
    <w:unhideWhenUsed/>
    <w:rsid w:val="00B14754"/>
    <w:rPr>
      <w:vertAlign w:val="superscript"/>
    </w:rPr>
  </w:style>
  <w:style w:type="paragraph" w:styleId="Textodeglobo">
    <w:name w:val="Balloon Text"/>
    <w:basedOn w:val="Normal"/>
    <w:link w:val="TextodegloboCar"/>
    <w:uiPriority w:val="99"/>
    <w:semiHidden/>
    <w:unhideWhenUsed/>
    <w:rsid w:val="00B14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754"/>
    <w:rPr>
      <w:rFonts w:ascii="Tahoma" w:eastAsiaTheme="minorEastAsia" w:hAnsi="Tahoma" w:cs="Tahoma"/>
      <w:sz w:val="16"/>
      <w:szCs w:val="16"/>
      <w:lang w:val="es-ES" w:eastAsia="es-ES"/>
    </w:rPr>
  </w:style>
  <w:style w:type="paragraph" w:styleId="Encabezado">
    <w:name w:val="header"/>
    <w:basedOn w:val="Normal"/>
    <w:link w:val="EncabezadoCar"/>
    <w:uiPriority w:val="99"/>
    <w:semiHidden/>
    <w:unhideWhenUsed/>
    <w:rsid w:val="006561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56186"/>
    <w:rPr>
      <w:rFonts w:eastAsiaTheme="minorEastAsia"/>
      <w:lang w:val="es-ES" w:eastAsia="es-ES"/>
    </w:rPr>
  </w:style>
  <w:style w:type="paragraph" w:styleId="Piedepgina">
    <w:name w:val="footer"/>
    <w:basedOn w:val="Normal"/>
    <w:link w:val="PiedepginaCar"/>
    <w:uiPriority w:val="99"/>
    <w:unhideWhenUsed/>
    <w:rsid w:val="006561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6186"/>
    <w:rPr>
      <w:rFonts w:eastAsiaTheme="minorEastAsia"/>
      <w:lang w:val="es-ES" w:eastAsia="es-ES"/>
    </w:rPr>
  </w:style>
</w:styles>
</file>

<file path=word/webSettings.xml><?xml version="1.0" encoding="utf-8"?>
<w:webSettings xmlns:r="http://schemas.openxmlformats.org/officeDocument/2006/relationships" xmlns:w="http://schemas.openxmlformats.org/wordprocessingml/2006/main">
  <w:divs>
    <w:div w:id="203981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E103E-6AAC-4C22-A303-6674CC97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2198</Words>
  <Characters>12089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FlavioG</cp:lastModifiedBy>
  <cp:revision>2</cp:revision>
  <dcterms:created xsi:type="dcterms:W3CDTF">2020-01-10T22:55:00Z</dcterms:created>
  <dcterms:modified xsi:type="dcterms:W3CDTF">2020-01-10T22:55:00Z</dcterms:modified>
</cp:coreProperties>
</file>