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EDC" w:rsidRPr="006B2AAE" w:rsidRDefault="00655EDC" w:rsidP="00655EDC">
      <w:pPr>
        <w:jc w:val="right"/>
        <w:rPr>
          <w:rFonts w:ascii="Calibri" w:eastAsia="Calibri" w:hAnsi="Calibri" w:cs="Times New Roman"/>
          <w:u w:val="single"/>
        </w:rPr>
      </w:pPr>
      <w:r w:rsidRPr="006B2AAE">
        <w:rPr>
          <w:rFonts w:ascii="Calibri" w:eastAsia="Calibri" w:hAnsi="Calibri" w:cs="Times New Roman"/>
          <w:noProof/>
          <w:sz w:val="28"/>
          <w:szCs w:val="28"/>
          <w:u w:val="single"/>
          <w:lang w:val="es-AR" w:eastAsia="es-AR"/>
        </w:rPr>
        <w:drawing>
          <wp:inline distT="0" distB="0" distL="0" distR="0">
            <wp:extent cx="5608955" cy="2585085"/>
            <wp:effectExtent l="19050" t="0" r="0" b="0"/>
            <wp:docPr id="13" name="Imagen 7" descr="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pic:cNvPicPr>
                      <a:picLocks noChangeAspect="1" noChangeArrowheads="1"/>
                    </pic:cNvPicPr>
                  </pic:nvPicPr>
                  <pic:blipFill>
                    <a:blip r:embed="rId8" cstate="print"/>
                    <a:srcRect/>
                    <a:stretch>
                      <a:fillRect/>
                    </a:stretch>
                  </pic:blipFill>
                  <pic:spPr bwMode="auto">
                    <a:xfrm>
                      <a:off x="0" y="0"/>
                      <a:ext cx="5608955" cy="2585085"/>
                    </a:xfrm>
                    <a:prstGeom prst="rect">
                      <a:avLst/>
                    </a:prstGeom>
                    <a:noFill/>
                    <a:ln w="9525">
                      <a:noFill/>
                      <a:miter lim="800000"/>
                      <a:headEnd/>
                      <a:tailEnd/>
                    </a:ln>
                  </pic:spPr>
                </pic:pic>
              </a:graphicData>
            </a:graphic>
          </wp:inline>
        </w:drawing>
      </w:r>
    </w:p>
    <w:p w:rsidR="00655EDC" w:rsidRPr="006B2AAE" w:rsidRDefault="00655EDC" w:rsidP="00655EDC">
      <w:pPr>
        <w:jc w:val="right"/>
        <w:rPr>
          <w:rFonts w:ascii="Calibri" w:eastAsia="Calibri" w:hAnsi="Calibri" w:cs="Times New Roman"/>
          <w:u w:val="single"/>
        </w:rPr>
      </w:pPr>
    </w:p>
    <w:p w:rsidR="00655EDC" w:rsidRDefault="00E75CA3" w:rsidP="00655EDC">
      <w:pPr>
        <w:jc w:val="center"/>
        <w:rPr>
          <w:rFonts w:ascii="Calibri" w:eastAsia="Calibri" w:hAnsi="Calibri" w:cs="Times New Roman"/>
          <w:b/>
          <w:sz w:val="36"/>
          <w:szCs w:val="36"/>
        </w:rPr>
      </w:pPr>
      <w:r>
        <w:rPr>
          <w:rFonts w:ascii="Calibri" w:eastAsia="Calibri" w:hAnsi="Calibri" w:cs="Times New Roman"/>
          <w:b/>
          <w:sz w:val="36"/>
          <w:szCs w:val="36"/>
        </w:rPr>
        <w:t>HACIA EL IMPUESTO A LOS RICOS</w:t>
      </w:r>
    </w:p>
    <w:p w:rsidR="00751F02" w:rsidRDefault="00751F02" w:rsidP="00655EDC">
      <w:pPr>
        <w:jc w:val="center"/>
        <w:rPr>
          <w:rFonts w:ascii="Calibri" w:eastAsia="Calibri" w:hAnsi="Calibri" w:cs="Times New Roman"/>
          <w:b/>
          <w:sz w:val="36"/>
          <w:szCs w:val="36"/>
        </w:rPr>
      </w:pPr>
    </w:p>
    <w:p w:rsidR="00463860" w:rsidRPr="00E75CA3" w:rsidRDefault="00463860" w:rsidP="00655EDC">
      <w:pPr>
        <w:jc w:val="center"/>
        <w:rPr>
          <w:rFonts w:ascii="Calibri" w:eastAsia="Calibri" w:hAnsi="Calibri" w:cs="Times New Roman"/>
          <w:b/>
          <w:i/>
          <w:iCs/>
          <w:sz w:val="36"/>
          <w:szCs w:val="36"/>
        </w:rPr>
      </w:pPr>
      <w:r w:rsidRPr="00E75CA3">
        <w:rPr>
          <w:rFonts w:ascii="Calibri" w:eastAsia="Calibri" w:hAnsi="Calibri" w:cs="Times New Roman"/>
          <w:b/>
          <w:i/>
          <w:iCs/>
          <w:sz w:val="36"/>
          <w:szCs w:val="36"/>
        </w:rPr>
        <w:t>La búsqueda por desmontar las prácticas</w:t>
      </w:r>
      <w:r w:rsidR="002031D5" w:rsidRPr="00E75CA3">
        <w:rPr>
          <w:rFonts w:ascii="Calibri" w:eastAsia="Calibri" w:hAnsi="Calibri" w:cs="Times New Roman"/>
          <w:b/>
          <w:i/>
          <w:iCs/>
          <w:sz w:val="36"/>
          <w:szCs w:val="36"/>
        </w:rPr>
        <w:t xml:space="preserve"> planificadas de evasión fiscal</w:t>
      </w:r>
      <w:r w:rsidRPr="00E75CA3">
        <w:rPr>
          <w:rFonts w:ascii="Calibri" w:eastAsia="Calibri" w:hAnsi="Calibri" w:cs="Times New Roman"/>
          <w:b/>
          <w:i/>
          <w:iCs/>
          <w:sz w:val="36"/>
          <w:szCs w:val="36"/>
        </w:rPr>
        <w:t xml:space="preserve"> de las grandes fortunas de la Argentina </w:t>
      </w:r>
    </w:p>
    <w:p w:rsidR="00655EDC" w:rsidRDefault="00655EDC" w:rsidP="00655EDC">
      <w:pPr>
        <w:jc w:val="center"/>
        <w:rPr>
          <w:rFonts w:ascii="Calibri" w:eastAsia="Calibri" w:hAnsi="Calibri" w:cs="Times New Roman"/>
          <w:b/>
          <w:sz w:val="36"/>
          <w:szCs w:val="36"/>
        </w:rPr>
      </w:pPr>
    </w:p>
    <w:p w:rsidR="00655EDC" w:rsidRDefault="00655EDC" w:rsidP="00655EDC">
      <w:pPr>
        <w:jc w:val="center"/>
        <w:rPr>
          <w:rFonts w:ascii="Calibri" w:eastAsia="Calibri" w:hAnsi="Calibri" w:cs="Times New Roman"/>
          <w:b/>
          <w:sz w:val="36"/>
          <w:szCs w:val="36"/>
        </w:rPr>
      </w:pPr>
    </w:p>
    <w:p w:rsidR="00655EDC" w:rsidRPr="006B2AAE" w:rsidRDefault="00655EDC" w:rsidP="00655EDC">
      <w:pPr>
        <w:jc w:val="center"/>
        <w:rPr>
          <w:rFonts w:ascii="Calibri" w:eastAsia="Calibri" w:hAnsi="Calibri" w:cs="Times New Roman"/>
          <w:b/>
          <w:sz w:val="36"/>
          <w:szCs w:val="36"/>
        </w:rPr>
      </w:pPr>
    </w:p>
    <w:p w:rsidR="00655EDC" w:rsidRPr="001A1533" w:rsidRDefault="00655EDC" w:rsidP="00655EDC">
      <w:pPr>
        <w:jc w:val="right"/>
        <w:rPr>
          <w:rFonts w:ascii="Calibri" w:eastAsia="Calibri" w:hAnsi="Calibri" w:cs="Times New Roman"/>
          <w:b/>
          <w:u w:val="single"/>
        </w:rPr>
      </w:pPr>
    </w:p>
    <w:p w:rsidR="00655EDC" w:rsidRPr="006B2AAE" w:rsidRDefault="00655EDC" w:rsidP="00655EDC">
      <w:pPr>
        <w:jc w:val="right"/>
        <w:rPr>
          <w:rFonts w:ascii="Calibri" w:eastAsia="Calibri" w:hAnsi="Calibri" w:cs="Times New Roman"/>
          <w:u w:val="single"/>
        </w:rPr>
      </w:pPr>
    </w:p>
    <w:p w:rsidR="00655EDC" w:rsidRPr="006B2AAE" w:rsidRDefault="00655EDC" w:rsidP="00655EDC">
      <w:pPr>
        <w:jc w:val="right"/>
        <w:rPr>
          <w:rFonts w:ascii="Calibri" w:eastAsia="Calibri" w:hAnsi="Calibri" w:cs="Times New Roman"/>
          <w:u w:val="single"/>
        </w:rPr>
      </w:pPr>
    </w:p>
    <w:p w:rsidR="00655EDC" w:rsidRPr="008B084C" w:rsidRDefault="00655EDC" w:rsidP="00655EDC">
      <w:pPr>
        <w:jc w:val="right"/>
        <w:rPr>
          <w:rFonts w:ascii="Calibri" w:eastAsia="Calibri" w:hAnsi="Calibri" w:cs="Times New Roman"/>
        </w:rPr>
      </w:pPr>
    </w:p>
    <w:p w:rsidR="00655EDC" w:rsidRPr="008B084C" w:rsidRDefault="00655EDC" w:rsidP="00655EDC">
      <w:pPr>
        <w:jc w:val="right"/>
        <w:rPr>
          <w:rFonts w:ascii="Calibri" w:eastAsia="Calibri" w:hAnsi="Calibri" w:cs="Times New Roman"/>
          <w:u w:val="single"/>
        </w:rPr>
      </w:pPr>
      <w:r w:rsidRPr="008B084C">
        <w:rPr>
          <w:rFonts w:ascii="Calibri" w:eastAsia="Calibri" w:hAnsi="Calibri" w:cs="Times New Roman"/>
          <w:u w:val="single"/>
        </w:rPr>
        <w:t>Equipo de Trabajo</w:t>
      </w:r>
    </w:p>
    <w:p w:rsidR="00F147B5" w:rsidRDefault="00F147B5" w:rsidP="00655EDC">
      <w:pPr>
        <w:jc w:val="right"/>
        <w:rPr>
          <w:rFonts w:ascii="Calibri" w:eastAsia="Calibri" w:hAnsi="Calibri" w:cs="Times New Roman"/>
        </w:rPr>
      </w:pPr>
      <w:r>
        <w:rPr>
          <w:rFonts w:ascii="Calibri" w:eastAsia="Calibri" w:hAnsi="Calibri" w:cs="Times New Roman"/>
        </w:rPr>
        <w:t>Horacio Fernández</w:t>
      </w:r>
    </w:p>
    <w:p w:rsidR="00655EDC" w:rsidRPr="008B084C" w:rsidRDefault="00655EDC" w:rsidP="00655EDC">
      <w:pPr>
        <w:jc w:val="right"/>
        <w:rPr>
          <w:rFonts w:ascii="Calibri" w:eastAsia="Calibri" w:hAnsi="Calibri" w:cs="Times New Roman"/>
        </w:rPr>
      </w:pPr>
      <w:proofErr w:type="spellStart"/>
      <w:r w:rsidRPr="008B084C">
        <w:rPr>
          <w:rFonts w:ascii="Calibri" w:eastAsia="Calibri" w:hAnsi="Calibri" w:cs="Times New Roman"/>
        </w:rPr>
        <w:t>Samant</w:t>
      </w:r>
      <w:r w:rsidR="005A4EC0">
        <w:rPr>
          <w:rFonts w:ascii="Calibri" w:eastAsia="Calibri" w:hAnsi="Calibri" w:cs="Times New Roman"/>
        </w:rPr>
        <w:t>h</w:t>
      </w:r>
      <w:r w:rsidRPr="008B084C">
        <w:rPr>
          <w:rFonts w:ascii="Calibri" w:eastAsia="Calibri" w:hAnsi="Calibri" w:cs="Times New Roman"/>
        </w:rPr>
        <w:t>a</w:t>
      </w:r>
      <w:proofErr w:type="spellEnd"/>
      <w:r w:rsidRPr="008B084C">
        <w:rPr>
          <w:rFonts w:ascii="Calibri" w:eastAsia="Calibri" w:hAnsi="Calibri" w:cs="Times New Roman"/>
        </w:rPr>
        <w:t xml:space="preserve"> </w:t>
      </w:r>
      <w:proofErr w:type="spellStart"/>
      <w:r w:rsidRPr="008B084C">
        <w:rPr>
          <w:rFonts w:ascii="Calibri" w:eastAsia="Calibri" w:hAnsi="Calibri" w:cs="Times New Roman"/>
        </w:rPr>
        <w:t>Horwitz</w:t>
      </w:r>
      <w:proofErr w:type="spellEnd"/>
    </w:p>
    <w:p w:rsidR="00655EDC" w:rsidRPr="008B084C" w:rsidRDefault="00655EDC" w:rsidP="00655EDC">
      <w:pPr>
        <w:jc w:val="right"/>
        <w:rPr>
          <w:rFonts w:ascii="Calibri" w:eastAsia="Calibri" w:hAnsi="Calibri" w:cs="Times New Roman"/>
        </w:rPr>
      </w:pPr>
      <w:r w:rsidRPr="008B084C">
        <w:rPr>
          <w:rFonts w:ascii="Calibri" w:eastAsia="Calibri" w:hAnsi="Calibri" w:cs="Times New Roman"/>
        </w:rPr>
        <w:t>Claudio Lozano</w:t>
      </w:r>
    </w:p>
    <w:p w:rsidR="00655EDC" w:rsidRPr="008B084C" w:rsidRDefault="00655EDC" w:rsidP="00655EDC">
      <w:pPr>
        <w:jc w:val="right"/>
        <w:rPr>
          <w:rFonts w:ascii="Calibri" w:eastAsia="Calibri" w:hAnsi="Calibri" w:cs="Times New Roman"/>
        </w:rPr>
      </w:pPr>
      <w:r w:rsidRPr="008B084C">
        <w:rPr>
          <w:rFonts w:ascii="Calibri" w:eastAsia="Calibri" w:hAnsi="Calibri" w:cs="Times New Roman"/>
        </w:rPr>
        <w:t>Ana Rameri</w:t>
      </w:r>
    </w:p>
    <w:p w:rsidR="00655EDC" w:rsidRPr="008B084C" w:rsidRDefault="00655EDC" w:rsidP="00655EDC">
      <w:pPr>
        <w:jc w:val="right"/>
        <w:rPr>
          <w:rFonts w:ascii="Calibri" w:eastAsia="Calibri" w:hAnsi="Calibri" w:cs="Times New Roman"/>
        </w:rPr>
      </w:pPr>
    </w:p>
    <w:p w:rsidR="00655EDC" w:rsidRPr="008B084C" w:rsidRDefault="00655EDC" w:rsidP="00655EDC">
      <w:pPr>
        <w:jc w:val="right"/>
        <w:rPr>
          <w:rFonts w:ascii="Calibri" w:eastAsia="Calibri" w:hAnsi="Calibri" w:cs="Times New Roman"/>
          <w:u w:val="single"/>
        </w:rPr>
      </w:pPr>
      <w:r w:rsidRPr="008B084C">
        <w:rPr>
          <w:rFonts w:ascii="Calibri" w:eastAsia="Calibri" w:hAnsi="Calibri" w:cs="Times New Roman"/>
          <w:u w:val="single"/>
        </w:rPr>
        <w:t>Coordinación</w:t>
      </w:r>
    </w:p>
    <w:p w:rsidR="00655EDC" w:rsidRPr="006B2AAE" w:rsidRDefault="00655EDC" w:rsidP="00655EDC">
      <w:pPr>
        <w:jc w:val="right"/>
        <w:rPr>
          <w:rFonts w:ascii="Calibri" w:eastAsia="Calibri" w:hAnsi="Calibri" w:cs="Times New Roman"/>
        </w:rPr>
      </w:pPr>
      <w:r w:rsidRPr="008B084C">
        <w:rPr>
          <w:rFonts w:ascii="Calibri" w:eastAsia="Calibri" w:hAnsi="Calibri" w:cs="Times New Roman"/>
        </w:rPr>
        <w:t>Ana Rameri</w:t>
      </w:r>
    </w:p>
    <w:p w:rsidR="00655EDC" w:rsidRDefault="00655EDC" w:rsidP="00655EDC">
      <w:pPr>
        <w:jc w:val="right"/>
        <w:rPr>
          <w:rFonts w:ascii="Calibri" w:eastAsia="Calibri" w:hAnsi="Calibri" w:cs="Times New Roman"/>
        </w:rPr>
      </w:pPr>
    </w:p>
    <w:p w:rsidR="00655EDC" w:rsidRPr="006B2AAE" w:rsidRDefault="00655EDC" w:rsidP="00655EDC">
      <w:pPr>
        <w:jc w:val="right"/>
        <w:rPr>
          <w:rFonts w:ascii="Calibri" w:eastAsia="Calibri" w:hAnsi="Calibri" w:cs="Times New Roman"/>
        </w:rPr>
      </w:pPr>
    </w:p>
    <w:p w:rsidR="00655EDC" w:rsidRPr="006B2AAE" w:rsidRDefault="00687410" w:rsidP="00655EDC">
      <w:pPr>
        <w:jc w:val="center"/>
        <w:rPr>
          <w:rFonts w:ascii="Times New Roman" w:eastAsia="Times New Roman" w:hAnsi="Times New Roman" w:cs="Times New Roman"/>
          <w:b/>
          <w:bCs/>
          <w:lang w:eastAsia="es-ES_tradnl"/>
        </w:rPr>
      </w:pPr>
      <w:r>
        <w:rPr>
          <w:rFonts w:ascii="Times New Roman" w:eastAsia="Times New Roman" w:hAnsi="Times New Roman" w:cs="Times New Roman"/>
          <w:b/>
          <w:bCs/>
          <w:lang w:eastAsia="es-ES_tradnl"/>
        </w:rPr>
        <w:t>A</w:t>
      </w:r>
      <w:r w:rsidR="00655EDC">
        <w:rPr>
          <w:rFonts w:ascii="Times New Roman" w:eastAsia="Times New Roman" w:hAnsi="Times New Roman" w:cs="Times New Roman"/>
          <w:b/>
          <w:bCs/>
          <w:lang w:eastAsia="es-ES_tradnl"/>
        </w:rPr>
        <w:t>bril</w:t>
      </w:r>
      <w:r w:rsidR="00655EDC" w:rsidRPr="006B2AAE">
        <w:rPr>
          <w:rFonts w:ascii="Times New Roman" w:eastAsia="Times New Roman" w:hAnsi="Times New Roman" w:cs="Times New Roman"/>
          <w:b/>
          <w:bCs/>
          <w:lang w:eastAsia="es-ES_tradnl"/>
        </w:rPr>
        <w:t xml:space="preserve"> 2020</w:t>
      </w:r>
    </w:p>
    <w:p w:rsidR="00655EDC" w:rsidRDefault="00655EDC">
      <w:pPr>
        <w:rPr>
          <w:b/>
          <w:u w:val="single"/>
        </w:rPr>
      </w:pPr>
    </w:p>
    <w:p w:rsidR="00655EDC" w:rsidRDefault="00655EDC">
      <w:pPr>
        <w:rPr>
          <w:b/>
          <w:u w:val="single"/>
        </w:rPr>
      </w:pPr>
      <w:r>
        <w:rPr>
          <w:b/>
          <w:u w:val="single"/>
        </w:rPr>
        <w:br w:type="page"/>
      </w:r>
    </w:p>
    <w:p w:rsidR="00981CEB" w:rsidRPr="00C34562" w:rsidRDefault="00173186">
      <w:pPr>
        <w:pStyle w:val="Normal1"/>
        <w:jc w:val="both"/>
        <w:rPr>
          <w:b/>
          <w:u w:val="single"/>
        </w:rPr>
      </w:pPr>
      <w:r w:rsidRPr="00C34562">
        <w:rPr>
          <w:b/>
          <w:u w:val="single"/>
        </w:rPr>
        <w:lastRenderedPageBreak/>
        <w:t>Síntesis</w:t>
      </w:r>
    </w:p>
    <w:p w:rsidR="00981CEB" w:rsidRDefault="00981CEB">
      <w:pPr>
        <w:pStyle w:val="Normal1"/>
        <w:jc w:val="both"/>
        <w:rPr>
          <w:b/>
        </w:rPr>
      </w:pPr>
    </w:p>
    <w:p w:rsidR="005B3FFE" w:rsidRDefault="00173186">
      <w:pPr>
        <w:pStyle w:val="Normal1"/>
        <w:jc w:val="both"/>
        <w:rPr>
          <w:i/>
        </w:rPr>
      </w:pPr>
      <w:r>
        <w:rPr>
          <w:i/>
        </w:rPr>
        <w:t xml:space="preserve">El esquema tributario argentino registra una presión sobre el sistema económico que está en línea con los estándares internacionales, pero se sustenta en una estructura regresiva que produce una recaudación injusta y </w:t>
      </w:r>
      <w:proofErr w:type="spellStart"/>
      <w:r>
        <w:rPr>
          <w:i/>
        </w:rPr>
        <w:t>procíclica</w:t>
      </w:r>
      <w:proofErr w:type="spellEnd"/>
      <w:r>
        <w:rPr>
          <w:i/>
        </w:rPr>
        <w:t xml:space="preserve">. </w:t>
      </w:r>
    </w:p>
    <w:p w:rsidR="005B3FFE" w:rsidRDefault="005B3FFE">
      <w:pPr>
        <w:pStyle w:val="Normal1"/>
        <w:jc w:val="both"/>
        <w:rPr>
          <w:i/>
        </w:rPr>
      </w:pPr>
    </w:p>
    <w:p w:rsidR="00981CEB" w:rsidRDefault="005B3FFE">
      <w:pPr>
        <w:pStyle w:val="Normal1"/>
        <w:jc w:val="both"/>
        <w:rPr>
          <w:i/>
        </w:rPr>
      </w:pPr>
      <w:r>
        <w:rPr>
          <w:i/>
        </w:rPr>
        <w:t xml:space="preserve">En particular, priman los impuestos indirectos sobre los que gravan riqueza y rentas. Se verifica, </w:t>
      </w:r>
      <w:r w:rsidRPr="005B3FFE">
        <w:rPr>
          <w:i/>
        </w:rPr>
        <w:t>incluso, que el cuestionable diseño de estos últimos termina atentando contra los ingresos de los trabajadores y el patrimonio de los sectores medios, sin</w:t>
      </w:r>
      <w:r>
        <w:rPr>
          <w:i/>
        </w:rPr>
        <w:t xml:space="preserve"> alcanzar de manera contundente la capacidad contributiva de los estratos más ricos. </w:t>
      </w:r>
      <w:r w:rsidR="00173186">
        <w:rPr>
          <w:i/>
        </w:rPr>
        <w:t xml:space="preserve">Esto se debe a los mínimos no imponibles vigentes y, particularmente, a la estructura de alícuotas. Además, dada la distribución de capacidades y funciones repartidas entre las provincias y el Estado nacional, conforme a la organización federal de gobierno que rige en nuestro país, las provincias mantienen para sí la potestad de gravar inmuebles y vehículos. Esos tributos no están correctamente articulados con el Impuesto a las Ganancias ni con el impuesto a los Bienes Personales. Incluso, las valuaciones fiscales, subvaluadas y descoordinadas, permiten maniobras de ocultamiento y elusión fiscal. </w:t>
      </w:r>
    </w:p>
    <w:p w:rsidR="00981CEB" w:rsidRDefault="00981CEB">
      <w:pPr>
        <w:pStyle w:val="Normal1"/>
        <w:jc w:val="both"/>
        <w:rPr>
          <w:i/>
        </w:rPr>
      </w:pPr>
    </w:p>
    <w:p w:rsidR="00981CEB" w:rsidRDefault="00173186">
      <w:pPr>
        <w:pStyle w:val="Normal1"/>
        <w:jc w:val="both"/>
        <w:rPr>
          <w:i/>
        </w:rPr>
      </w:pPr>
      <w:r>
        <w:rPr>
          <w:i/>
        </w:rPr>
        <w:t xml:space="preserve">En todo sentido, el problema tributario argentino no es tanto de presión, como de composición, administración y coordinación federal. </w:t>
      </w:r>
    </w:p>
    <w:p w:rsidR="00981CEB" w:rsidRDefault="00981CEB">
      <w:pPr>
        <w:pStyle w:val="Normal1"/>
        <w:jc w:val="both"/>
        <w:rPr>
          <w:i/>
        </w:rPr>
      </w:pPr>
    </w:p>
    <w:p w:rsidR="00981CEB" w:rsidRDefault="00173186">
      <w:pPr>
        <w:pStyle w:val="Normal1"/>
        <w:jc w:val="both"/>
        <w:rPr>
          <w:i/>
        </w:rPr>
      </w:pPr>
      <w:r>
        <w:rPr>
          <w:i/>
        </w:rPr>
        <w:t>La pandemia del virus Covid-19 y la crisis económica y social que produce alrededor del mundo exige medidas por parte de los gobiernos. En nuestro país se privilegiaron los paquetes de asistencia económica que procuran sostener los ingresos de los sectores más vulnerados, y se recurrió a la asistencia de</w:t>
      </w:r>
      <w:r w:rsidR="00EF6F51">
        <w:rPr>
          <w:i/>
        </w:rPr>
        <w:t>l</w:t>
      </w:r>
      <w:r>
        <w:rPr>
          <w:i/>
        </w:rPr>
        <w:t xml:space="preserve"> Banco Central para financiarlos. </w:t>
      </w:r>
    </w:p>
    <w:p w:rsidR="00981CEB" w:rsidRDefault="00981CEB">
      <w:pPr>
        <w:pStyle w:val="Normal1"/>
        <w:jc w:val="both"/>
        <w:rPr>
          <w:i/>
        </w:rPr>
      </w:pPr>
    </w:p>
    <w:p w:rsidR="00981CEB" w:rsidRDefault="00173186">
      <w:pPr>
        <w:pStyle w:val="Normal1"/>
        <w:jc w:val="both"/>
        <w:rPr>
          <w:i/>
        </w:rPr>
      </w:pPr>
      <w:r>
        <w:rPr>
          <w:i/>
        </w:rPr>
        <w:t>Gravar los estratos de m</w:t>
      </w:r>
      <w:r w:rsidR="002031D5">
        <w:rPr>
          <w:i/>
        </w:rPr>
        <w:t>ayor capacidad contributiva es una deuda</w:t>
      </w:r>
      <w:r>
        <w:rPr>
          <w:i/>
        </w:rPr>
        <w:t xml:space="preserve"> pendiente en nuestro país. </w:t>
      </w:r>
      <w:r w:rsidR="002031D5">
        <w:rPr>
          <w:i/>
        </w:rPr>
        <w:t>La delicada situación</w:t>
      </w:r>
      <w:r w:rsidR="00C8500C">
        <w:rPr>
          <w:i/>
        </w:rPr>
        <w:t xml:space="preserve"> planteada por la pandemia transforma esa deuda en la imperiosa necesidad de lograr una contribución extraordinaria, y por única vez, de las principales fortunas de la Argentina, para fondear y financiar las </w:t>
      </w:r>
      <w:r w:rsidR="00C46296">
        <w:rPr>
          <w:i/>
        </w:rPr>
        <w:t>políticas</w:t>
      </w:r>
      <w:r w:rsidR="00C8500C">
        <w:rPr>
          <w:i/>
        </w:rPr>
        <w:t xml:space="preserve"> </w:t>
      </w:r>
      <w:r w:rsidR="00C46296">
        <w:rPr>
          <w:i/>
        </w:rPr>
        <w:t>públicas</w:t>
      </w:r>
      <w:r w:rsidR="00C8500C">
        <w:rPr>
          <w:i/>
        </w:rPr>
        <w:t xml:space="preserve"> que impone la emergencia.  Este documento</w:t>
      </w:r>
      <w:r>
        <w:rPr>
          <w:i/>
        </w:rPr>
        <w:t xml:space="preserve"> argumenta </w:t>
      </w:r>
      <w:r w:rsidR="00C8500C">
        <w:rPr>
          <w:i/>
        </w:rPr>
        <w:t xml:space="preserve">sobre la importancia de </w:t>
      </w:r>
      <w:r>
        <w:rPr>
          <w:i/>
        </w:rPr>
        <w:t xml:space="preserve">avanzar en </w:t>
      </w:r>
      <w:r w:rsidR="00C46296">
        <w:rPr>
          <w:i/>
        </w:rPr>
        <w:t>este camino</w:t>
      </w:r>
      <w:r>
        <w:rPr>
          <w:i/>
        </w:rPr>
        <w:t xml:space="preserve">.   </w:t>
      </w:r>
    </w:p>
    <w:p w:rsidR="00981CEB" w:rsidRDefault="00981CEB">
      <w:pPr>
        <w:pStyle w:val="Normal1"/>
        <w:jc w:val="both"/>
        <w:rPr>
          <w:b/>
        </w:rPr>
      </w:pPr>
    </w:p>
    <w:p w:rsidR="00981CEB" w:rsidRDefault="00173186">
      <w:pPr>
        <w:pStyle w:val="Normal1"/>
        <w:jc w:val="both"/>
        <w:rPr>
          <w:b/>
        </w:rPr>
      </w:pPr>
      <w:r>
        <w:rPr>
          <w:b/>
        </w:rPr>
        <w:t>La pandemia y los tributos</w:t>
      </w:r>
    </w:p>
    <w:p w:rsidR="00981CEB" w:rsidRDefault="00981CEB">
      <w:pPr>
        <w:pStyle w:val="Normal1"/>
        <w:jc w:val="both"/>
        <w:rPr>
          <w:b/>
        </w:rPr>
      </w:pPr>
    </w:p>
    <w:p w:rsidR="00981CEB" w:rsidRDefault="00173186">
      <w:pPr>
        <w:pStyle w:val="Normal1"/>
        <w:jc w:val="both"/>
      </w:pPr>
      <w:r>
        <w:t xml:space="preserve">El 22 de marzo pasado, la Organización Mundial de la Salud, luego de que el número de personas infectadas por COVID-19 a nivel global superara </w:t>
      </w:r>
      <w:r w:rsidR="00755B7B">
        <w:t>los 118.500</w:t>
      </w:r>
      <w:r>
        <w:t xml:space="preserve">, afectando hasta ese momento a 110 países, declaró el brote de Coronavirus como una pandemia. En este marco, el Gobierno Nacional reglamentó la declaración de emergencia pública en materia sanitaria imponiendo medidas de aislamiento, restricciones de viajes, y suspendiendo buena parte de las actividades </w:t>
      </w:r>
      <w:r w:rsidR="00755B7B">
        <w:t>comerciales, productivas</w:t>
      </w:r>
      <w:r>
        <w:t xml:space="preserve"> y educativas en el país. El abordaje de la irrupción de la </w:t>
      </w:r>
      <w:r w:rsidR="00755B7B">
        <w:t>pandemia</w:t>
      </w:r>
      <w:r>
        <w:t xml:space="preserve"> se centra en reforzar el sistema de salud y contener los efectos sociales y económicos ocasionados por el aislamiento social preventivo y obligatorio.</w:t>
      </w:r>
    </w:p>
    <w:p w:rsidR="00981CEB" w:rsidRDefault="00981CEB">
      <w:pPr>
        <w:pStyle w:val="Normal1"/>
        <w:spacing w:before="240" w:after="240"/>
        <w:jc w:val="both"/>
      </w:pPr>
    </w:p>
    <w:p w:rsidR="00981CEB" w:rsidRDefault="00173186">
      <w:pPr>
        <w:pStyle w:val="Normal1"/>
        <w:jc w:val="both"/>
      </w:pPr>
      <w:r>
        <w:t>El fortuito contexto sanitario aceleró las condiciones preexistentes de recesión y crisis social</w:t>
      </w:r>
      <w:r>
        <w:rPr>
          <w:vertAlign w:val="superscript"/>
        </w:rPr>
        <w:footnoteReference w:id="1"/>
      </w:r>
      <w:r>
        <w:t xml:space="preserve">, entorpeciendo los ensayos de salida hacia la recuperación económica. Los esfuerzos impulsados desde el gobierno, luego de declarar la emergencia pública y el aislamiento social, se concentraron en mitigar sus efectos económicos y sociales.  </w:t>
      </w:r>
    </w:p>
    <w:p w:rsidR="00981CEB" w:rsidRDefault="00981CEB">
      <w:pPr>
        <w:pStyle w:val="Normal1"/>
        <w:jc w:val="both"/>
      </w:pPr>
    </w:p>
    <w:p w:rsidR="00981CEB" w:rsidRDefault="00173186">
      <w:pPr>
        <w:pStyle w:val="Normal1"/>
        <w:jc w:val="both"/>
      </w:pPr>
      <w:r>
        <w:t xml:space="preserve">Diversos paquetes de asistencia económica fueron impulsados en pos de sostener los ingresos de los sectores más vulnerados. Entre ellos podemos localizar tres frentes principales de asistencia: </w:t>
      </w:r>
    </w:p>
    <w:p w:rsidR="00981CEB" w:rsidRDefault="00981CEB">
      <w:pPr>
        <w:pStyle w:val="Normal1"/>
        <w:jc w:val="both"/>
      </w:pPr>
    </w:p>
    <w:p w:rsidR="00981CEB" w:rsidRDefault="00173186">
      <w:pPr>
        <w:pStyle w:val="Normal1"/>
        <w:numPr>
          <w:ilvl w:val="0"/>
          <w:numId w:val="2"/>
        </w:numPr>
        <w:jc w:val="both"/>
      </w:pPr>
      <w:r>
        <w:rPr>
          <w:i/>
        </w:rPr>
        <w:t xml:space="preserve">Transferencias de ingresos. </w:t>
      </w:r>
      <w:r>
        <w:t xml:space="preserve">Como refuerzo en la política de protección social, se estableció un incremento en las partidas para asistir a comedores escolares, comunitarios y merenderos, a la vez que se aumentó la frecuencia de distribución de la Tarjeta Alimentaria. También se implementó en marzo un bono de $3.000 a los receptores de los principales planes sociales (Hacemos Futuro y Salario Social Complementario), y jubilados y pensionados que perciben el haber mínimo.  La Asignación universal por hijo fue duplicada en su valor, puesto que se decidió otorgar una suma de $3.100 en concepto de bono de emergencia a los  hijos de los titulares. También se prorrogó la suspensión del pago de cuotas a los 8,9 millones de beneficiarios endeudados con ANSES. Para los trabajadores de los hogares más vulnerables (personas que se desempeñen en la economía informal, sean monotributistas inscriptos en las categorías “A” y “B”, monotributistas sociales, o bien trabajadores y trabajadoras de casas particulares) se dispuso la creación del Ingreso Familiar de Emergencia (IFE) correspondiente al pago de $10.000 en el mes de abril. </w:t>
      </w:r>
    </w:p>
    <w:p w:rsidR="00981CEB" w:rsidRDefault="00981CEB">
      <w:pPr>
        <w:pStyle w:val="Normal1"/>
        <w:ind w:left="720"/>
        <w:jc w:val="both"/>
      </w:pPr>
    </w:p>
    <w:p w:rsidR="00981CEB" w:rsidRDefault="00173186">
      <w:pPr>
        <w:pStyle w:val="Normal1"/>
        <w:numPr>
          <w:ilvl w:val="0"/>
          <w:numId w:val="2"/>
        </w:numPr>
        <w:jc w:val="both"/>
        <w:rPr>
          <w:i/>
        </w:rPr>
      </w:pPr>
      <w:r>
        <w:rPr>
          <w:i/>
        </w:rPr>
        <w:t xml:space="preserve">Medidas de apoyo al trabajo y la producción, reduciendo el costo laboral. </w:t>
      </w:r>
      <w:r>
        <w:t xml:space="preserve">Se estableció un refuerzo al seguro de desempleo (con un mínimo de $6.000 y un tope de $10.000) y se prohibieron despidos y suspensiones por 60 días. En el marco del “Programa de Asistencia de Emergencia al Trabajo y la Producción”, se decretó la postergación o reducción de hasta el 95% del pago de las contribuciones patronales al Sistema Integrado Previsional Argentino (SIPA) a empleadores de los sectores más afectados (actividades de esparcimiento, turismo, transporte de pasajeros y hoteles, o bien empresas que afronten dificultades logísticas o de provisión de insumos que afecten sus procesos productivos). Se amplió el Programa de Recuperación Productiva (REPRO) para garantizar el empleo de aquellos que trabajan en empresas afectadas por la emergencia sanitaria, a la vez que se dispuso brindar una suma para las y los trabajadores inscriptos en dicho programa, en relación de dependencia del sector privado y comprendidos en el régimen de negociación colectiva en los términos de la Ley N° 14.250. </w:t>
      </w:r>
    </w:p>
    <w:p w:rsidR="00981CEB" w:rsidRDefault="00981CEB">
      <w:pPr>
        <w:pStyle w:val="Normal1"/>
        <w:ind w:left="720"/>
        <w:jc w:val="both"/>
      </w:pPr>
    </w:p>
    <w:p w:rsidR="00981CEB" w:rsidRDefault="00173186">
      <w:pPr>
        <w:pStyle w:val="Normal1"/>
        <w:numPr>
          <w:ilvl w:val="0"/>
          <w:numId w:val="2"/>
        </w:numPr>
        <w:jc w:val="both"/>
      </w:pPr>
      <w:r>
        <w:rPr>
          <w:i/>
        </w:rPr>
        <w:t>Asistencia financiera a empresas.</w:t>
      </w:r>
      <w:r>
        <w:t xml:space="preserve"> </w:t>
      </w:r>
      <w:r w:rsidR="004F7EF4">
        <w:t>P</w:t>
      </w:r>
      <w:r w:rsidR="004F7EF4" w:rsidRPr="004F7EF4">
        <w:t>aquete de asistencia financiera por unos $350.000 millones para financiar capital de trabajo y compra insumos.</w:t>
      </w:r>
      <w:r w:rsidR="004F7EF4">
        <w:t xml:space="preserve"> </w:t>
      </w:r>
      <w:r>
        <w:t xml:space="preserve">Se </w:t>
      </w:r>
      <w:proofErr w:type="spellStart"/>
      <w:r>
        <w:t>creo</w:t>
      </w:r>
      <w:proofErr w:type="spellEnd"/>
      <w:r>
        <w:t xml:space="preserve"> el “Fondo de Garantías Argentino” (</w:t>
      </w:r>
      <w:proofErr w:type="spellStart"/>
      <w:r>
        <w:t>FoGAr</w:t>
      </w:r>
      <w:proofErr w:type="spellEnd"/>
      <w:r>
        <w:t xml:space="preserve">) con el fin de facilitar las condiciones de acceso al financiamiento de quienes desarrollan actividades económicas y/o productivas, coadyuvando en el financiamiento de </w:t>
      </w:r>
      <w:proofErr w:type="spellStart"/>
      <w:r w:rsidR="00C049D8">
        <w:t>PyMEs</w:t>
      </w:r>
      <w:proofErr w:type="spellEnd"/>
      <w:r w:rsidR="00C049D8">
        <w:t xml:space="preserve"> y </w:t>
      </w:r>
      <w:r w:rsidR="00DF0974">
        <w:t>microempresas</w:t>
      </w:r>
      <w:r>
        <w:t xml:space="preserve">, a través de un aporte extraordinario al fondo de $30.000 millones por parte del Poder Ejecutivo. A su vez, el Banco Central emitió una normativa abocada a la promoción de </w:t>
      </w:r>
      <w:r>
        <w:rPr>
          <w:highlight w:val="white"/>
        </w:rPr>
        <w:t xml:space="preserve">créditos a </w:t>
      </w:r>
      <w:proofErr w:type="spellStart"/>
      <w:r>
        <w:rPr>
          <w:highlight w:val="white"/>
        </w:rPr>
        <w:t>MiPyMEs</w:t>
      </w:r>
      <w:proofErr w:type="spellEnd"/>
      <w:r>
        <w:rPr>
          <w:highlight w:val="white"/>
        </w:rPr>
        <w:t xml:space="preserve"> a una tasa fija no superior al 24% anual para reforzar el capital de trabajo. </w:t>
      </w:r>
    </w:p>
    <w:p w:rsidR="00981CEB" w:rsidRDefault="00981CEB">
      <w:pPr>
        <w:pStyle w:val="Normal1"/>
        <w:jc w:val="both"/>
      </w:pPr>
    </w:p>
    <w:p w:rsidR="00981CEB" w:rsidRDefault="00981CEB">
      <w:pPr>
        <w:pStyle w:val="Normal1"/>
        <w:jc w:val="both"/>
      </w:pPr>
    </w:p>
    <w:p w:rsidR="0012496D" w:rsidRPr="00C56D7A" w:rsidRDefault="0012496D" w:rsidP="0012496D">
      <w:pPr>
        <w:pStyle w:val="Normal10"/>
        <w:jc w:val="both"/>
        <w:rPr>
          <w:b/>
        </w:rPr>
      </w:pPr>
      <w:r w:rsidRPr="00C56D7A">
        <w:rPr>
          <w:b/>
        </w:rPr>
        <w:t>La falta de una política tributaria acorde a las necesidades de financiamiento</w:t>
      </w:r>
    </w:p>
    <w:p w:rsidR="0012496D" w:rsidRDefault="0012496D" w:rsidP="0012496D">
      <w:pPr>
        <w:pStyle w:val="Normal10"/>
        <w:jc w:val="both"/>
      </w:pPr>
    </w:p>
    <w:p w:rsidR="009C4834" w:rsidRDefault="009C4834" w:rsidP="0012496D">
      <w:pPr>
        <w:pStyle w:val="Normal10"/>
        <w:jc w:val="both"/>
      </w:pPr>
    </w:p>
    <w:p w:rsidR="009C4834" w:rsidRDefault="00C63192" w:rsidP="0012496D">
      <w:pPr>
        <w:pStyle w:val="Normal10"/>
        <w:jc w:val="both"/>
      </w:pPr>
      <w:r>
        <w:tab/>
      </w:r>
      <w:r w:rsidR="00876B31">
        <w:t>El conjunto de definiciones tributaria</w:t>
      </w:r>
      <w:r w:rsidR="00796141">
        <w:t>s</w:t>
      </w:r>
      <w:r w:rsidR="00876B31">
        <w:t xml:space="preserve"> que el nuevo gobierno </w:t>
      </w:r>
      <w:r w:rsidR="008D1AA9">
        <w:t xml:space="preserve">había </w:t>
      </w:r>
      <w:r w:rsidR="006C42E9">
        <w:t>tomado hacia</w:t>
      </w:r>
      <w:r w:rsidR="008D1AA9">
        <w:t xml:space="preserve"> finales del año pasado </w:t>
      </w:r>
      <w:r w:rsidR="00796141">
        <w:t xml:space="preserve">a partir de la Ley de Solidaridad </w:t>
      </w:r>
      <w:r w:rsidR="00DC600C">
        <w:t xml:space="preserve">Social y Reactivación Productiva (como la suspensión de </w:t>
      </w:r>
      <w:r w:rsidR="003E20FB">
        <w:t xml:space="preserve">la reducción de las contribuciones patronales del esquema general, la recomposición de parte de la alícuota </w:t>
      </w:r>
      <w:r w:rsidR="00AF59EC">
        <w:t>de Bienes Personales, los cambios en Ganancias</w:t>
      </w:r>
      <w:r w:rsidR="00C11296">
        <w:t>,</w:t>
      </w:r>
      <w:r w:rsidR="00AF59EC">
        <w:t xml:space="preserve">) </w:t>
      </w:r>
      <w:r w:rsidR="00D00AC7">
        <w:t>junto con</w:t>
      </w:r>
      <w:r w:rsidR="00C11296">
        <w:t xml:space="preserve"> medidas </w:t>
      </w:r>
      <w:r w:rsidR="00CC3E84">
        <w:t>adicionales como</w:t>
      </w:r>
      <w:r w:rsidR="00D00AC7">
        <w:t xml:space="preserve"> planes de regularización de deudas para Pymes, </w:t>
      </w:r>
      <w:r w:rsidR="006C42E9">
        <w:t>ven deteriorar el efecto balsámico inicial en el marco de la crisis actual.</w:t>
      </w:r>
      <w:r w:rsidR="00C11296">
        <w:t xml:space="preserve"> Los alivios </w:t>
      </w:r>
      <w:r w:rsidR="000166DF">
        <w:t xml:space="preserve">brindados </w:t>
      </w:r>
      <w:r w:rsidR="00C11296">
        <w:t>a los segmentos medios y al sector productivo más debilitado no han sido profundizados hasta el momento</w:t>
      </w:r>
      <w:r w:rsidR="000166DF">
        <w:t xml:space="preserve"> porque la política tributaria </w:t>
      </w:r>
      <w:r w:rsidR="00CC3E84">
        <w:t xml:space="preserve">debe atender un Estado diezmado en términos de financiamiento. </w:t>
      </w:r>
    </w:p>
    <w:p w:rsidR="0012496D" w:rsidRDefault="0012496D">
      <w:pPr>
        <w:pStyle w:val="Normal1"/>
        <w:jc w:val="both"/>
      </w:pPr>
    </w:p>
    <w:p w:rsidR="00981CEB" w:rsidRDefault="00173186">
      <w:pPr>
        <w:pStyle w:val="Normal1"/>
        <w:jc w:val="both"/>
      </w:pPr>
      <w:r>
        <w:t xml:space="preserve">Diversas estimaciones indican que el paquete de medidas impulsado por el gobierno tendría un costo fiscal de </w:t>
      </w:r>
      <w:r w:rsidRPr="00C34562">
        <w:t>entre 2 y 2,4 puntos porcentuales</w:t>
      </w:r>
      <w:r>
        <w:t xml:space="preserve"> del producto</w:t>
      </w:r>
      <w:r w:rsidR="0012496D">
        <w:rPr>
          <w:rStyle w:val="Refdenotaalpie"/>
        </w:rPr>
        <w:footnoteReference w:id="2"/>
      </w:r>
      <w:r>
        <w:t>. Por el momento, se recurrió a la asistencia de Banco Central para financiar las política</w:t>
      </w:r>
      <w:r w:rsidR="006420B1">
        <w:t xml:space="preserve">s de contención. Como es sabido, esta decisión, absolutamente razonable en el presente contexto, no debe </w:t>
      </w:r>
      <w:r w:rsidR="00213FC7">
        <w:t>eximir a la autoridad p</w:t>
      </w:r>
      <w:r w:rsidR="00461E24">
        <w:t>ú</w:t>
      </w:r>
      <w:r w:rsidR="00213FC7">
        <w:t xml:space="preserve">blica de la tarea de evaluar como puede ser </w:t>
      </w:r>
      <w:proofErr w:type="spellStart"/>
      <w:proofErr w:type="gramStart"/>
      <w:r w:rsidR="00213FC7">
        <w:t>mas</w:t>
      </w:r>
      <w:proofErr w:type="spellEnd"/>
      <w:proofErr w:type="gramEnd"/>
      <w:r w:rsidR="00213FC7">
        <w:t xml:space="preserve"> eficaz la política tributaria. Sobre todo</w:t>
      </w:r>
      <w:r>
        <w:t xml:space="preserve">, </w:t>
      </w:r>
      <w:r w:rsidR="00213FC7">
        <w:t xml:space="preserve">cuando </w:t>
      </w:r>
      <w:r>
        <w:t>frente a la disminución de la actividad económica, los ingresos púb</w:t>
      </w:r>
      <w:r w:rsidR="00213FC7">
        <w:t>licos por recaudación impositiva</w:t>
      </w:r>
      <w:r>
        <w:t xml:space="preserve"> no harán más que caer, limitando incluso más el margen para reducir impuestos o contribuciones.</w:t>
      </w:r>
    </w:p>
    <w:p w:rsidR="00981CEB" w:rsidRDefault="00173186">
      <w:pPr>
        <w:pStyle w:val="Normal1"/>
        <w:spacing w:before="240" w:after="240"/>
        <w:jc w:val="both"/>
      </w:pPr>
      <w:r>
        <w:t>Queda clara, entonces, la importancia de ampliar la capacidad de financiamiento público para fortalecer la intervención del Estado y así evitar el colapso económico y social. Más aún cuando las perspectivas a nivel mundial indican que el panorama seguirá complicándose.</w:t>
      </w:r>
    </w:p>
    <w:p w:rsidR="00981CEB" w:rsidRDefault="00173186">
      <w:pPr>
        <w:pStyle w:val="Normal1"/>
        <w:spacing w:before="240" w:after="240"/>
        <w:jc w:val="both"/>
      </w:pPr>
      <w:r>
        <w:t>En este sentido, son interesantes los resultados publicados por la Organización Internacional del Trabajo (OIT) en su documento “El COVID-19 y el mundo del trabajo en Argentina: impacto y respuestas de política” (</w:t>
      </w:r>
      <w:proofErr w:type="spellStart"/>
      <w:r>
        <w:t>Christoph</w:t>
      </w:r>
      <w:proofErr w:type="spellEnd"/>
      <w:r>
        <w:t xml:space="preserve"> </w:t>
      </w:r>
      <w:proofErr w:type="spellStart"/>
      <w:r>
        <w:t>Ernst</w:t>
      </w:r>
      <w:proofErr w:type="spellEnd"/>
      <w:r>
        <w:t xml:space="preserve"> </w:t>
      </w:r>
      <w:proofErr w:type="spellStart"/>
      <w:r>
        <w:t>Elva</w:t>
      </w:r>
      <w:proofErr w:type="spellEnd"/>
      <w:r>
        <w:t xml:space="preserve"> López </w:t>
      </w:r>
      <w:proofErr w:type="spellStart"/>
      <w:r>
        <w:t>Mourelo</w:t>
      </w:r>
      <w:proofErr w:type="spellEnd"/>
      <w:r>
        <w:t xml:space="preserve">). </w:t>
      </w:r>
      <w:r w:rsidR="00E01561">
        <w:t>De acuerdo con</w:t>
      </w:r>
      <w:r>
        <w:t xml:space="preserve"> los hallazgos de la OIT, la crisis económica provocada por la pandemia del COVID-19 tendrá efectos de gran alcance sobre los mercados de trabajo mundiales. Se prevé que la disminución de la actividad económica y la consecuente caída del empleo conlleven importantes pérdidas de ingresos para los trabajadores, especialmente de aquellos que se encuentran cerca o por debajo del umbral de la pobreza. </w:t>
      </w:r>
      <w:r w:rsidR="000D52C0">
        <w:t>S</w:t>
      </w:r>
      <w:r w:rsidR="00055FE2">
        <w:t>e</w:t>
      </w:r>
      <w:r w:rsidR="000D52C0">
        <w:t xml:space="preserve"> estima una</w:t>
      </w:r>
      <w:r w:rsidR="000D52C0" w:rsidRPr="000D52C0">
        <w:t xml:space="preserve"> pérdida de 195 millones de puestos de trabajo a tiempo completo en el </w:t>
      </w:r>
      <w:r w:rsidR="00055FE2">
        <w:t>m</w:t>
      </w:r>
      <w:r w:rsidR="000D52C0" w:rsidRPr="000D52C0">
        <w:t xml:space="preserve">undo y </w:t>
      </w:r>
      <w:r w:rsidR="005A511A">
        <w:t xml:space="preserve">el riesgo </w:t>
      </w:r>
      <w:r w:rsidR="005A511A" w:rsidRPr="000D52C0">
        <w:t>de desplazamiento de la fuerza de trabajo</w:t>
      </w:r>
      <w:r w:rsidR="005A511A">
        <w:t xml:space="preserve"> afectará a</w:t>
      </w:r>
      <w:r w:rsidR="000D52C0" w:rsidRPr="000D52C0">
        <w:t xml:space="preserve"> 1</w:t>
      </w:r>
      <w:r w:rsidR="00055FE2">
        <w:t>.</w:t>
      </w:r>
      <w:r w:rsidR="000D52C0" w:rsidRPr="000D52C0">
        <w:t xml:space="preserve">250 millones, </w:t>
      </w:r>
      <w:r w:rsidR="005A511A">
        <w:t xml:space="preserve">el </w:t>
      </w:r>
      <w:r w:rsidR="000D52C0" w:rsidRPr="000D52C0">
        <w:t>38% de</w:t>
      </w:r>
      <w:r w:rsidR="00391F75">
        <w:t xml:space="preserve"> </w:t>
      </w:r>
      <w:r w:rsidR="000D52C0" w:rsidRPr="000D52C0">
        <w:t>la PEA mundial</w:t>
      </w:r>
      <w:r w:rsidR="000D52C0">
        <w:t xml:space="preserve">. </w:t>
      </w:r>
      <w:r>
        <w:t>Esta consecuencia dará lugar a un notable aumento de la pobreza laboral.</w:t>
      </w:r>
      <w:r w:rsidR="00536356">
        <w:t xml:space="preserve"> Asimismo, las estimaciones del organismo internacional indican un inexorable </w:t>
      </w:r>
      <w:r w:rsidR="00536356" w:rsidRPr="00536356">
        <w:t xml:space="preserve">aumento del desempleo mundial </w:t>
      </w:r>
      <w:r w:rsidR="00536356">
        <w:t>estimado entre los</w:t>
      </w:r>
      <w:r w:rsidR="00536356" w:rsidRPr="00536356">
        <w:t xml:space="preserve"> 5,3 millones y 24,7 millones de personas</w:t>
      </w:r>
      <w:r w:rsidR="00DC4695">
        <w:t>.</w:t>
      </w:r>
      <w:r>
        <w:t xml:space="preserve"> En el caso de Argentina, la rápida expansión mundial del coronavirus y su efecto contagio en la economía del país, así como las propias consecuencias de la llegada de la crisis sanitaria, hacen augurar una caída significativa del PIB en 2020</w:t>
      </w:r>
      <w:r w:rsidR="00057BB0">
        <w:t xml:space="preserve"> que, hasta el momento, se calcula cerca al -6%</w:t>
      </w:r>
      <w:r w:rsidR="00BB20E5">
        <w:t xml:space="preserve"> lo que implicaría como mínimo, medio millón de ocupaciones menos.</w:t>
      </w:r>
    </w:p>
    <w:p w:rsidR="00981CEB" w:rsidRDefault="00173186">
      <w:pPr>
        <w:pStyle w:val="Normal1"/>
        <w:jc w:val="both"/>
      </w:pPr>
      <w:r>
        <w:t>En línea con los documentos recientemente publicados</w:t>
      </w:r>
      <w:r>
        <w:rPr>
          <w:vertAlign w:val="superscript"/>
        </w:rPr>
        <w:footnoteReference w:id="3"/>
      </w:r>
      <w:r>
        <w:t>, los elementos que compartimos a continuación tienen la intención de reforzar los argumentos a favor de robustecer el sesgo redistributivo que consideramos debe tener el Estado en general y, particularmente, para sortear la emergencia. Los recursos para tales fines deben provenir de los sectores con mayor capacidad contributiva, aspecto sustancial para evitar poner en competen</w:t>
      </w:r>
      <w:r w:rsidR="005E22A8">
        <w:t>cia derechos, para fortalecer las</w:t>
      </w:r>
      <w:r>
        <w:t xml:space="preserve"> arcas públicas y, fundamentalmente, para alojar una oportunidad histórica para remover el rasgo de Estados débiles y de empresariado </w:t>
      </w:r>
      <w:proofErr w:type="spellStart"/>
      <w:r>
        <w:t>prebendario</w:t>
      </w:r>
      <w:proofErr w:type="spellEnd"/>
      <w:r>
        <w:t xml:space="preserve"> de nuestras economías.</w:t>
      </w:r>
    </w:p>
    <w:p w:rsidR="00981CEB" w:rsidRDefault="00981CEB">
      <w:pPr>
        <w:pStyle w:val="Normal1"/>
        <w:jc w:val="both"/>
      </w:pPr>
    </w:p>
    <w:p w:rsidR="00981CEB" w:rsidRDefault="00173186">
      <w:pPr>
        <w:pStyle w:val="Normal1"/>
        <w:jc w:val="both"/>
      </w:pPr>
      <w:r>
        <w:t>Se esgrimen en el presente análisis los argumentos que afirman que la Argentina tiene el margen para hacerlo. A tales fines, presentamos a continuación algunas cuestiones que deben resaltarse de nuestro sistema impositivo en comparación a la información tributaria del resto del mundo.</w:t>
      </w:r>
    </w:p>
    <w:p w:rsidR="00981CEB" w:rsidRDefault="00981CEB">
      <w:pPr>
        <w:pStyle w:val="Normal1"/>
        <w:jc w:val="both"/>
        <w:rPr>
          <w:b/>
        </w:rPr>
      </w:pPr>
    </w:p>
    <w:p w:rsidR="00981CEB" w:rsidRDefault="00173186">
      <w:pPr>
        <w:pStyle w:val="Normal1"/>
        <w:jc w:val="both"/>
        <w:rPr>
          <w:b/>
        </w:rPr>
      </w:pPr>
      <w:r>
        <w:rPr>
          <w:b/>
        </w:rPr>
        <w:t>1. La presión tributaria en Argentina no es alta</w:t>
      </w:r>
    </w:p>
    <w:p w:rsidR="00981CEB" w:rsidRDefault="00173186">
      <w:pPr>
        <w:pStyle w:val="Normal1"/>
        <w:spacing w:before="240" w:after="240"/>
        <w:jc w:val="both"/>
      </w:pPr>
      <w:r>
        <w:t xml:space="preserve">Surge del análisis comparativo internacional que la estructura tributaria Argentina presenta falencias en su estructura, aunque no devuelve, como comúnmente se argumenta, niveles extraordinarios de presión tributaria.  </w:t>
      </w:r>
    </w:p>
    <w:p w:rsidR="00981CEB" w:rsidRDefault="00173186">
      <w:pPr>
        <w:pStyle w:val="Normal1"/>
        <w:jc w:val="both"/>
      </w:pPr>
      <w:r>
        <w:t>Utilizando datos de 2017 recopilados por el Banco Mundial</w:t>
      </w:r>
      <w:r>
        <w:rPr>
          <w:vertAlign w:val="superscript"/>
        </w:rPr>
        <w:footnoteReference w:id="4"/>
      </w:r>
      <w:r>
        <w:t xml:space="preserve">  y volcados en el Cuadro Nº1 a continuación, se verifica que los ingresos tributarios representan en Argentina una presión sobre el producto curiosamente as</w:t>
      </w:r>
      <w:r w:rsidR="00C26E22">
        <w:t>imilable</w:t>
      </w:r>
      <w:r>
        <w:t xml:space="preserve"> al de economías líderes como Estados Unidos o Alemania, e incluso por debajo de la presión tributaria mundial y de los países con mayor presión tales como Dinamarca, Reino Unido, Francia o Italia. </w:t>
      </w:r>
    </w:p>
    <w:p w:rsidR="00C26E22" w:rsidRPr="00005278" w:rsidRDefault="00173186" w:rsidP="00005278">
      <w:pPr>
        <w:pStyle w:val="Normal1"/>
        <w:spacing w:before="240" w:after="240"/>
        <w:jc w:val="both"/>
        <w:rPr>
          <w:sz w:val="20"/>
          <w:szCs w:val="20"/>
          <w:highlight w:val="yellow"/>
        </w:rPr>
      </w:pPr>
      <w:r>
        <w:t>Si bien estos guarismos expresados en el cuadro no agotan la carga fiscal del sistema local porque no contabilizan los impuestos</w:t>
      </w:r>
      <w:r w:rsidR="005B3EFB">
        <w:t xml:space="preserve"> coparticipados</w:t>
      </w:r>
      <w:r>
        <w:t xml:space="preserve"> a provincias y municipios</w:t>
      </w:r>
      <w:r w:rsidR="005B3EFB">
        <w:t xml:space="preserve"> </w:t>
      </w:r>
      <w:r>
        <w:t xml:space="preserve">ni los </w:t>
      </w:r>
      <w:r w:rsidR="005B3EFB">
        <w:t>que forman parte de las recaudaciones provinciales</w:t>
      </w:r>
      <w:r>
        <w:t xml:space="preserve"> (a los fines de hacerla comparable internacionalmente), lo que muestran es que </w:t>
      </w:r>
      <w:r>
        <w:rPr>
          <w:b/>
        </w:rPr>
        <w:t xml:space="preserve">Argentina no presenta una presión tributaria extraordinaria que no esté en línea con la de buena parte de las economías del mundo.  </w:t>
      </w:r>
    </w:p>
    <w:p w:rsidR="00981CEB" w:rsidRDefault="00173186">
      <w:pPr>
        <w:pStyle w:val="Normal1"/>
        <w:rPr>
          <w:b/>
          <w:sz w:val="22"/>
          <w:szCs w:val="22"/>
          <w:u w:val="single"/>
        </w:rPr>
      </w:pPr>
      <w:r>
        <w:rPr>
          <w:b/>
          <w:sz w:val="22"/>
          <w:szCs w:val="22"/>
          <w:u w:val="single"/>
        </w:rPr>
        <w:t>Cuadro Nº 1: Recaudación Impositiva, como % del PBI. Países seleccionados. Años 2014-2017</w:t>
      </w:r>
    </w:p>
    <w:p w:rsidR="00981CEB" w:rsidRDefault="00981CEB">
      <w:pPr>
        <w:pStyle w:val="Normal1"/>
        <w:rPr>
          <w:b/>
          <w:u w:val="single"/>
        </w:rPr>
      </w:pPr>
    </w:p>
    <w:p w:rsidR="00981CEB" w:rsidRDefault="00173186">
      <w:pPr>
        <w:pStyle w:val="Normal1"/>
        <w:jc w:val="center"/>
        <w:rPr>
          <w:b/>
          <w:u w:val="single"/>
        </w:rPr>
      </w:pPr>
      <w:r>
        <w:rPr>
          <w:i/>
          <w:noProof/>
          <w:color w:val="FF0000"/>
          <w:lang w:val="es-AR" w:eastAsia="es-AR"/>
        </w:rPr>
        <w:drawing>
          <wp:inline distT="114300" distB="114300" distL="114300" distR="114300">
            <wp:extent cx="4859762" cy="394790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60251" cy="3948299"/>
                    </a:xfrm>
                    <a:prstGeom prst="rect">
                      <a:avLst/>
                    </a:prstGeom>
                    <a:ln/>
                  </pic:spPr>
                </pic:pic>
              </a:graphicData>
            </a:graphic>
          </wp:inline>
        </w:drawing>
      </w:r>
    </w:p>
    <w:p w:rsidR="00981CEB" w:rsidRDefault="00173186">
      <w:pPr>
        <w:pStyle w:val="Normal1"/>
      </w:pPr>
      <w:r>
        <w:rPr>
          <w:sz w:val="20"/>
          <w:szCs w:val="20"/>
          <w:u w:val="single"/>
        </w:rPr>
        <w:t>Fuente:</w:t>
      </w:r>
      <w:r>
        <w:rPr>
          <w:sz w:val="20"/>
          <w:szCs w:val="20"/>
        </w:rPr>
        <w:t xml:space="preserve"> Elaboración propia en base a base de datos del Banco Mundial</w:t>
      </w:r>
    </w:p>
    <w:p w:rsidR="00981CEB" w:rsidRDefault="00981CEB">
      <w:pPr>
        <w:pStyle w:val="Normal1"/>
        <w:rPr>
          <w:b/>
          <w:u w:val="single"/>
        </w:rPr>
      </w:pPr>
    </w:p>
    <w:p w:rsidR="00981CEB" w:rsidRDefault="00173186">
      <w:pPr>
        <w:pStyle w:val="Normal1"/>
        <w:rPr>
          <w:b/>
          <w:sz w:val="22"/>
          <w:szCs w:val="22"/>
          <w:u w:val="single"/>
        </w:rPr>
      </w:pPr>
      <w:r>
        <w:rPr>
          <w:b/>
          <w:sz w:val="22"/>
          <w:szCs w:val="22"/>
          <w:u w:val="single"/>
        </w:rPr>
        <w:t>Gráfico  Nº 1: Recaudación Impositiva, como % del PBI. Países seleccionados. 2014-2017.</w:t>
      </w:r>
    </w:p>
    <w:p w:rsidR="00C26E22" w:rsidRDefault="00C26E22">
      <w:pPr>
        <w:pStyle w:val="Normal1"/>
        <w:rPr>
          <w:b/>
          <w:sz w:val="22"/>
          <w:szCs w:val="22"/>
          <w:u w:val="single"/>
        </w:rPr>
      </w:pPr>
    </w:p>
    <w:p w:rsidR="00981CEB" w:rsidRDefault="00173186">
      <w:pPr>
        <w:pStyle w:val="Normal1"/>
        <w:ind w:left="720"/>
        <w:jc w:val="both"/>
        <w:rPr>
          <w:i/>
          <w:u w:val="single"/>
        </w:rPr>
      </w:pPr>
      <w:r>
        <w:rPr>
          <w:i/>
          <w:noProof/>
          <w:u w:val="single"/>
          <w:lang w:val="es-AR" w:eastAsia="es-AR"/>
        </w:rPr>
        <w:drawing>
          <wp:inline distT="114300" distB="114300" distL="114300" distR="114300">
            <wp:extent cx="5034441" cy="2610693"/>
            <wp:effectExtent l="0" t="0" r="0" b="571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35304" cy="2611140"/>
                    </a:xfrm>
                    <a:prstGeom prst="rect">
                      <a:avLst/>
                    </a:prstGeom>
                    <a:ln/>
                  </pic:spPr>
                </pic:pic>
              </a:graphicData>
            </a:graphic>
          </wp:inline>
        </w:drawing>
      </w:r>
    </w:p>
    <w:p w:rsidR="00981CEB" w:rsidRDefault="00173186">
      <w:pPr>
        <w:pStyle w:val="Normal1"/>
        <w:ind w:firstLine="720"/>
        <w:rPr>
          <w:i/>
          <w:u w:val="single"/>
        </w:rPr>
      </w:pPr>
      <w:r>
        <w:rPr>
          <w:sz w:val="20"/>
          <w:szCs w:val="20"/>
          <w:u w:val="single"/>
        </w:rPr>
        <w:t>Fuente:</w:t>
      </w:r>
      <w:r>
        <w:rPr>
          <w:sz w:val="20"/>
          <w:szCs w:val="20"/>
        </w:rPr>
        <w:t xml:space="preserve"> Elaboración propia en base a base de datos del Banco Mundial</w:t>
      </w:r>
    </w:p>
    <w:p w:rsidR="00981CEB" w:rsidRDefault="00981CEB">
      <w:pPr>
        <w:pStyle w:val="Normal1"/>
        <w:ind w:left="720"/>
        <w:jc w:val="both"/>
        <w:rPr>
          <w:i/>
          <w:u w:val="single"/>
        </w:rPr>
      </w:pPr>
    </w:p>
    <w:p w:rsidR="001B1241" w:rsidRDefault="001B1241">
      <w:pPr>
        <w:pStyle w:val="Normal1"/>
        <w:jc w:val="both"/>
      </w:pPr>
    </w:p>
    <w:p w:rsidR="00981CEB" w:rsidRDefault="001B1241">
      <w:pPr>
        <w:pStyle w:val="Normal1"/>
        <w:jc w:val="both"/>
      </w:pPr>
      <w:r>
        <w:tab/>
      </w:r>
      <w:r w:rsidR="00173186">
        <w:t>Otra aproximación es la elaborada por el  Banco Interamericano de Desarrollo (BID) y el Centro Interamericano de Administraciones Tributarias</w:t>
      </w:r>
      <w:r w:rsidR="00C26E22">
        <w:t xml:space="preserve"> (CIAT) </w:t>
      </w:r>
      <w:r w:rsidR="00173186">
        <w:rPr>
          <w:vertAlign w:val="superscript"/>
        </w:rPr>
        <w:footnoteReference w:id="5"/>
      </w:r>
      <w:r w:rsidR="00173186">
        <w:t xml:space="preserve">, que utiliza </w:t>
      </w:r>
      <w:r w:rsidR="00C26E22">
        <w:t>la variable Presión Fiscal Equivalente (PFE)</w:t>
      </w:r>
      <w:r>
        <w:t xml:space="preserve"> </w:t>
      </w:r>
      <w:r w:rsidR="00173186">
        <w:t xml:space="preserve">para realizar comparaciones internacionales, definida por el monto de recursos monetarios que un determinado país logra captar a partir de la aplicación de un conjunto de diferentes impuestos y otros instrumentos similares los cuales, en general, constituyen la base fundamental de financiamiento del Estado. Este indicador se expresa con relación al PIB de cada país para asegurar una unidad de medida </w:t>
      </w:r>
      <w:r w:rsidR="00C26E22">
        <w:t>equiparable</w:t>
      </w:r>
      <w:r w:rsidR="00173186">
        <w:t xml:space="preserve">. </w:t>
      </w:r>
    </w:p>
    <w:p w:rsidR="00981CEB" w:rsidRDefault="00981CEB">
      <w:pPr>
        <w:pStyle w:val="Normal1"/>
        <w:jc w:val="both"/>
      </w:pPr>
    </w:p>
    <w:p w:rsidR="00406730" w:rsidRDefault="00714463">
      <w:pPr>
        <w:pStyle w:val="Normal1"/>
        <w:jc w:val="both"/>
      </w:pPr>
      <w:r>
        <w:tab/>
      </w:r>
      <w:r w:rsidR="00173186">
        <w:t>La información de 2018 indica que el nivel promedio de la presión fiscal en</w:t>
      </w:r>
      <w:r>
        <w:t xml:space="preserve"> Argentina es del 32,1% mientras el promedio de</w:t>
      </w:r>
      <w:r w:rsidR="00173186">
        <w:t xml:space="preserve"> América Latina y el Caribe</w:t>
      </w:r>
      <w:r>
        <w:t xml:space="preserve"> es del 25,2%.</w:t>
      </w:r>
      <w:r w:rsidR="00173186">
        <w:t xml:space="preserve"> Si bien estos datos no son directamente comparables con los presentados </w:t>
      </w:r>
      <w:r>
        <w:t>previamente (fuente</w:t>
      </w:r>
      <w:r w:rsidR="00173186">
        <w:t xml:space="preserve"> Banco Mundial)</w:t>
      </w:r>
      <w:r>
        <w:t xml:space="preserve"> ya que incorporan los ingresos por Seguridad Social </w:t>
      </w:r>
      <w:r w:rsidRPr="00171DF8">
        <w:t>y lo recaudado por provincias y municipios</w:t>
      </w:r>
      <w:r w:rsidR="00173186" w:rsidRPr="00171DF8">
        <w:t>,</w:t>
      </w:r>
      <w:r w:rsidR="00173186">
        <w:t xml:space="preserve"> demuestran que la presión tributaria argentina es similar, incluso levemente inferior, a la de otros países de la región, como Uruguay y Brasil. </w:t>
      </w:r>
      <w:r w:rsidR="003B4F01">
        <w:t xml:space="preserve">Conviene aclarar que los países que se encuentran por debajo de la presión tributaria de Argentina tienen niveles muy inferiores de aporte y contribuciones a la seguridad social conforme a </w:t>
      </w:r>
      <w:r w:rsidR="00151E9D">
        <w:t xml:space="preserve">la existencia de </w:t>
      </w:r>
      <w:r w:rsidR="003B4F01">
        <w:t xml:space="preserve">estructuras laborales que detentan </w:t>
      </w:r>
      <w:r w:rsidR="00D076AD">
        <w:t>una menor tasa</w:t>
      </w:r>
      <w:r w:rsidR="003B4F01">
        <w:t xml:space="preserve"> de </w:t>
      </w:r>
      <w:proofErr w:type="spellStart"/>
      <w:r w:rsidR="003B4F01">
        <w:t>asalarización</w:t>
      </w:r>
      <w:proofErr w:type="spellEnd"/>
      <w:r w:rsidR="004604F5">
        <w:t xml:space="preserve"> (como es el caso de países como Perú y Paraguay) o bien como resultado de la privatización del sistema de previsión social que sería el caso de Chile</w:t>
      </w:r>
      <w:r w:rsidR="003B4F01">
        <w:t>.</w:t>
      </w:r>
      <w:r w:rsidR="004604F5">
        <w:t xml:space="preserve"> </w:t>
      </w:r>
      <w:r w:rsidR="009F2202">
        <w:t xml:space="preserve"> De todos modos, también son reflejo de estructuras tributarias con diferentes grados de progresividad que se detallará en el siguiente punto.</w:t>
      </w:r>
    </w:p>
    <w:p w:rsidR="00406730" w:rsidRDefault="00406730">
      <w:pPr>
        <w:pStyle w:val="Normal1"/>
        <w:jc w:val="both"/>
      </w:pPr>
    </w:p>
    <w:p w:rsidR="00981CEB" w:rsidRDefault="00981CEB">
      <w:pPr>
        <w:pStyle w:val="Normal1"/>
        <w:jc w:val="both"/>
      </w:pPr>
    </w:p>
    <w:p w:rsidR="00981CEB" w:rsidRDefault="00173186">
      <w:pPr>
        <w:pStyle w:val="Normal1"/>
        <w:spacing w:before="240" w:after="240"/>
        <w:jc w:val="both"/>
      </w:pPr>
      <w:r>
        <w:rPr>
          <w:b/>
          <w:sz w:val="22"/>
          <w:szCs w:val="22"/>
          <w:u w:val="single"/>
        </w:rPr>
        <w:t xml:space="preserve">Cuadro  Nº 2: Presión Fiscal Equivalente (en % del PBI). Año 2018. Países seleccionados de América Latina. </w:t>
      </w:r>
    </w:p>
    <w:p w:rsidR="00981CEB" w:rsidRDefault="00173186">
      <w:pPr>
        <w:pStyle w:val="Normal1"/>
        <w:jc w:val="center"/>
      </w:pPr>
      <w:r>
        <w:rPr>
          <w:noProof/>
          <w:lang w:val="es-AR" w:eastAsia="es-AR"/>
        </w:rPr>
        <w:drawing>
          <wp:inline distT="114300" distB="114300" distL="114300" distR="114300">
            <wp:extent cx="2366149" cy="138588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366149" cy="1385888"/>
                    </a:xfrm>
                    <a:prstGeom prst="rect">
                      <a:avLst/>
                    </a:prstGeom>
                    <a:ln/>
                  </pic:spPr>
                </pic:pic>
              </a:graphicData>
            </a:graphic>
          </wp:inline>
        </w:drawing>
      </w:r>
    </w:p>
    <w:p w:rsidR="00981CEB" w:rsidRDefault="00173186">
      <w:pPr>
        <w:pStyle w:val="Normal1"/>
        <w:jc w:val="both"/>
        <w:rPr>
          <w:sz w:val="20"/>
          <w:szCs w:val="20"/>
        </w:rPr>
      </w:pPr>
      <w:r>
        <w:rPr>
          <w:sz w:val="20"/>
          <w:szCs w:val="20"/>
          <w:u w:val="single"/>
        </w:rPr>
        <w:t xml:space="preserve">Fuente: </w:t>
      </w:r>
      <w:r>
        <w:rPr>
          <w:sz w:val="20"/>
          <w:szCs w:val="20"/>
        </w:rPr>
        <w:t>Elaboración propia en base a datos del BID-CIAT.</w:t>
      </w:r>
    </w:p>
    <w:p w:rsidR="00981CEB" w:rsidRDefault="00981CEB">
      <w:pPr>
        <w:pStyle w:val="Normal1"/>
        <w:jc w:val="both"/>
      </w:pPr>
    </w:p>
    <w:p w:rsidR="00D60A38" w:rsidRDefault="00D60A38">
      <w:pPr>
        <w:pStyle w:val="Normal1"/>
        <w:jc w:val="both"/>
      </w:pPr>
    </w:p>
    <w:p w:rsidR="00551714" w:rsidRPr="005A7832" w:rsidRDefault="000B481B">
      <w:pPr>
        <w:pStyle w:val="Normal1"/>
        <w:jc w:val="both"/>
      </w:pPr>
      <w:r w:rsidRPr="00BE4A67">
        <w:tab/>
      </w:r>
      <w:r w:rsidRPr="005A7832">
        <w:t>La información oficial</w:t>
      </w:r>
      <w:r w:rsidR="00D7614E" w:rsidRPr="005A7832">
        <w:t xml:space="preserve"> del Ministerio de Economía</w:t>
      </w:r>
      <w:r w:rsidR="00551714" w:rsidRPr="005A7832">
        <w:t xml:space="preserve">, sin embargo, </w:t>
      </w:r>
      <w:r w:rsidR="002733C1" w:rsidRPr="005A7832">
        <w:t xml:space="preserve">arroja un nivel de presión menor al expuesto por el BID. </w:t>
      </w:r>
      <w:r w:rsidR="002733C1" w:rsidRPr="005A7832">
        <w:rPr>
          <w:b/>
          <w:bCs/>
          <w:i/>
          <w:iCs/>
        </w:rPr>
        <w:t xml:space="preserve">Según un informe </w:t>
      </w:r>
      <w:r w:rsidR="005363B1" w:rsidRPr="005A7832">
        <w:rPr>
          <w:b/>
          <w:bCs/>
          <w:i/>
          <w:iCs/>
        </w:rPr>
        <w:t>reciente</w:t>
      </w:r>
      <w:r w:rsidR="00BB459B" w:rsidRPr="005A7832">
        <w:rPr>
          <w:b/>
          <w:bCs/>
          <w:i/>
          <w:iCs/>
        </w:rPr>
        <w:t>,</w:t>
      </w:r>
      <w:r w:rsidR="005363B1" w:rsidRPr="005A7832">
        <w:rPr>
          <w:b/>
          <w:bCs/>
          <w:i/>
          <w:iCs/>
        </w:rPr>
        <w:t xml:space="preserve"> al 2019 </w:t>
      </w:r>
      <w:r w:rsidR="00BB459B" w:rsidRPr="005A7832">
        <w:rPr>
          <w:b/>
          <w:bCs/>
          <w:i/>
          <w:iCs/>
        </w:rPr>
        <w:t>la presión tributaria</w:t>
      </w:r>
      <w:r w:rsidR="005363B1" w:rsidRPr="005A7832">
        <w:rPr>
          <w:b/>
          <w:bCs/>
          <w:i/>
          <w:iCs/>
        </w:rPr>
        <w:t xml:space="preserve"> </w:t>
      </w:r>
      <w:r w:rsidR="00BB459B" w:rsidRPr="005A7832">
        <w:rPr>
          <w:b/>
          <w:bCs/>
          <w:i/>
          <w:iCs/>
        </w:rPr>
        <w:t>es</w:t>
      </w:r>
      <w:r w:rsidR="005363B1" w:rsidRPr="005A7832">
        <w:rPr>
          <w:b/>
          <w:bCs/>
          <w:i/>
          <w:iCs/>
        </w:rPr>
        <w:t xml:space="preserve"> del 28,4%</w:t>
      </w:r>
      <w:r w:rsidR="00BB459B" w:rsidRPr="005A7832">
        <w:rPr>
          <w:b/>
          <w:bCs/>
          <w:i/>
          <w:iCs/>
        </w:rPr>
        <w:t xml:space="preserve"> como resultado de un período de cuatro años desde el 2015 durante el cual se verificó una caída sistemática</w:t>
      </w:r>
      <w:r w:rsidR="00BB459B" w:rsidRPr="005A7832">
        <w:t>.</w:t>
      </w:r>
      <w:r w:rsidR="005363B1" w:rsidRPr="005A7832">
        <w:t xml:space="preserve"> </w:t>
      </w:r>
      <w:r w:rsidR="00BB459B" w:rsidRPr="005A7832">
        <w:t xml:space="preserve">Previo a la asunción del gobierno de Cambiemos el </w:t>
      </w:r>
      <w:r w:rsidR="00E166AB" w:rsidRPr="005A7832">
        <w:t xml:space="preserve">nivel </w:t>
      </w:r>
      <w:r w:rsidR="00BB459B" w:rsidRPr="005A7832">
        <w:t>era del 31,5%</w:t>
      </w:r>
      <w:r w:rsidR="00E166AB" w:rsidRPr="005A7832">
        <w:t xml:space="preserve"> por lo cual la baja experimentada fue del orden del 3 p.p. del PBI</w:t>
      </w:r>
      <w:r w:rsidR="00150E3C" w:rsidRPr="005A7832">
        <w:t>.</w:t>
      </w:r>
      <w:r w:rsidR="00350C34" w:rsidRPr="005A7832">
        <w:t xml:space="preserve"> Según la evaluación de la Subsecretaría de Ingresos Públicos, 2,6 p.p.</w:t>
      </w:r>
      <w:r w:rsidR="000F7173" w:rsidRPr="005A7832">
        <w:t xml:space="preserve"> de la menor presión </w:t>
      </w:r>
      <w:r w:rsidR="007F2678" w:rsidRPr="005A7832">
        <w:t xml:space="preserve">lo soporta la Nación mientras el restante 0,4 p.p. </w:t>
      </w:r>
      <w:r w:rsidR="00ED37EF" w:rsidRPr="005A7832">
        <w:t>representa una menor recaudación de las provincias.</w:t>
      </w:r>
      <w:r w:rsidR="00151F13" w:rsidRPr="005A7832">
        <w:t xml:space="preserve"> </w:t>
      </w:r>
      <w:r w:rsidR="00085F70" w:rsidRPr="005A7832">
        <w:t>Los impuestos nacionales que explicaron la baja fueron principalmente el Impuesto a las Ganancias (-1,3p.p.) y los aportes y contribuciones a la seguridad social (-1,2 p.p.). EL IVA</w:t>
      </w:r>
      <w:r w:rsidR="00401BD7" w:rsidRPr="005A7832">
        <w:t>,</w:t>
      </w:r>
      <w:r w:rsidR="00085F70" w:rsidRPr="005A7832">
        <w:t xml:space="preserve"> sin embargo</w:t>
      </w:r>
      <w:r w:rsidR="00401BD7" w:rsidRPr="005A7832">
        <w:t>,</w:t>
      </w:r>
      <w:r w:rsidR="00085F70" w:rsidRPr="005A7832">
        <w:t xml:space="preserve"> se mantuvo constante</w:t>
      </w:r>
      <w:r w:rsidR="002B7368" w:rsidRPr="005A7832">
        <w:t xml:space="preserve"> como resultado de la escalada inflacionaria en un contexto de recesión económica. El comercio exterior mantuvo una caída hasta el año 2018 revertido en el 2019.</w:t>
      </w:r>
      <w:r w:rsidR="00085F70" w:rsidRPr="005A7832">
        <w:t xml:space="preserve"> </w:t>
      </w:r>
    </w:p>
    <w:p w:rsidR="003B30DD" w:rsidRPr="005A7832" w:rsidRDefault="003B30DD">
      <w:pPr>
        <w:pStyle w:val="Normal1"/>
        <w:jc w:val="both"/>
      </w:pPr>
    </w:p>
    <w:p w:rsidR="003B30DD" w:rsidRPr="005A7832" w:rsidRDefault="004F3F9D" w:rsidP="004F3F9D">
      <w:pPr>
        <w:pStyle w:val="Normal1"/>
        <w:spacing w:before="240" w:after="240"/>
        <w:jc w:val="both"/>
      </w:pPr>
      <w:r w:rsidRPr="005A7832">
        <w:rPr>
          <w:b/>
          <w:sz w:val="22"/>
          <w:szCs w:val="22"/>
          <w:u w:val="single"/>
        </w:rPr>
        <w:t xml:space="preserve">Cuadro  Nº 3: Presión Fiscal (en % del PBI) </w:t>
      </w:r>
      <w:r w:rsidR="002C0CDD" w:rsidRPr="005A7832">
        <w:rPr>
          <w:b/>
          <w:sz w:val="22"/>
          <w:szCs w:val="22"/>
          <w:u w:val="single"/>
        </w:rPr>
        <w:t>según tributos. Evolución 2015 – 2019.</w:t>
      </w:r>
    </w:p>
    <w:p w:rsidR="003B30DD" w:rsidRPr="005A7832" w:rsidRDefault="003B30DD" w:rsidP="003B30DD">
      <w:pPr>
        <w:pStyle w:val="Normal1"/>
        <w:jc w:val="center"/>
      </w:pPr>
      <w:r w:rsidRPr="005A7832">
        <w:rPr>
          <w:noProof/>
          <w:lang w:val="es-AR" w:eastAsia="es-AR"/>
        </w:rPr>
        <w:drawing>
          <wp:inline distT="0" distB="0" distL="0" distR="0">
            <wp:extent cx="4214490" cy="1697503"/>
            <wp:effectExtent l="0" t="0" r="254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8898" cy="1707334"/>
                    </a:xfrm>
                    <a:prstGeom prst="rect">
                      <a:avLst/>
                    </a:prstGeom>
                  </pic:spPr>
                </pic:pic>
              </a:graphicData>
            </a:graphic>
          </wp:inline>
        </w:drawing>
      </w:r>
    </w:p>
    <w:p w:rsidR="002C0CDD" w:rsidRPr="005A7832" w:rsidRDefault="002C0CDD" w:rsidP="003B30DD">
      <w:pPr>
        <w:pStyle w:val="Normal1"/>
        <w:jc w:val="center"/>
        <w:rPr>
          <w:sz w:val="20"/>
          <w:szCs w:val="20"/>
        </w:rPr>
      </w:pPr>
      <w:r w:rsidRPr="005A7832">
        <w:rPr>
          <w:sz w:val="20"/>
          <w:szCs w:val="20"/>
        </w:rPr>
        <w:t xml:space="preserve">Fuente: A.F.I.P. y otras fuentes en </w:t>
      </w:r>
      <w:r w:rsidR="00E10D3D" w:rsidRPr="005A7832">
        <w:rPr>
          <w:sz w:val="20"/>
          <w:szCs w:val="20"/>
        </w:rPr>
        <w:t>https://www.argentina.gob.ar/sites/default/files/informe_de_politica_tributaria_dniaf.pdf</w:t>
      </w:r>
    </w:p>
    <w:p w:rsidR="003B30DD" w:rsidRPr="005A7832" w:rsidRDefault="003B30DD">
      <w:pPr>
        <w:pStyle w:val="Normal1"/>
        <w:jc w:val="both"/>
      </w:pPr>
    </w:p>
    <w:p w:rsidR="000F7173" w:rsidRPr="005A7832" w:rsidRDefault="000F7173">
      <w:pPr>
        <w:pStyle w:val="Normal1"/>
        <w:jc w:val="both"/>
      </w:pPr>
    </w:p>
    <w:p w:rsidR="004B1733" w:rsidRDefault="006B59D4">
      <w:pPr>
        <w:pStyle w:val="Normal1"/>
        <w:jc w:val="both"/>
      </w:pPr>
      <w:r w:rsidRPr="005A7832">
        <w:tab/>
        <w:t>En definitiva, la presión de la Argentina no es alta, está en línea con otros países de</w:t>
      </w:r>
      <w:r w:rsidR="000E1A3B" w:rsidRPr="005A7832">
        <w:t xml:space="preserve"> la región</w:t>
      </w:r>
      <w:r w:rsidR="00511752" w:rsidRPr="005A7832">
        <w:t xml:space="preserve"> en material tributaria e incluso por debajo de </w:t>
      </w:r>
      <w:r w:rsidR="00221CBE" w:rsidRPr="005A7832">
        <w:t xml:space="preserve">sus </w:t>
      </w:r>
      <w:r w:rsidR="00511752" w:rsidRPr="005A7832">
        <w:t xml:space="preserve">vecinos </w:t>
      </w:r>
      <w:r w:rsidR="00221CBE" w:rsidRPr="005A7832">
        <w:t>que tienen</w:t>
      </w:r>
      <w:r w:rsidR="00511752" w:rsidRPr="005A7832">
        <w:t xml:space="preserve"> estructuras económica</w:t>
      </w:r>
      <w:r w:rsidR="00221CBE" w:rsidRPr="005A7832">
        <w:t>s</w:t>
      </w:r>
      <w:r w:rsidR="00511752" w:rsidRPr="005A7832">
        <w:t xml:space="preserve"> similares como Brasil y Uruguay. </w:t>
      </w:r>
      <w:r w:rsidR="00F76B64" w:rsidRPr="005A7832">
        <w:t>El dominio de política</w:t>
      </w:r>
      <w:r w:rsidR="003129D8" w:rsidRPr="005A7832">
        <w:t>s</w:t>
      </w:r>
      <w:r w:rsidR="00F76B64" w:rsidRPr="005A7832">
        <w:t xml:space="preserve"> de ajuste neoliberales durante las últimas décadas ha configurado un </w:t>
      </w:r>
      <w:r w:rsidR="00221CBE" w:rsidRPr="005A7832">
        <w:t xml:space="preserve">aparato fiscal nacional </w:t>
      </w:r>
      <w:r w:rsidR="00F76B64" w:rsidRPr="005A7832">
        <w:t xml:space="preserve">débil en relación </w:t>
      </w:r>
      <w:r w:rsidR="003129D8" w:rsidRPr="005A7832">
        <w:t>con</w:t>
      </w:r>
      <w:r w:rsidR="00F76B64" w:rsidRPr="005A7832">
        <w:t xml:space="preserve"> otras</w:t>
      </w:r>
      <w:r w:rsidR="00221CBE" w:rsidRPr="005A7832">
        <w:t xml:space="preserve"> economías del mundo</w:t>
      </w:r>
      <w:r w:rsidR="003129D8" w:rsidRPr="005A7832">
        <w:t>. Datos del propio Banco Mundial</w:t>
      </w:r>
      <w:r w:rsidR="00221CBE" w:rsidRPr="005A7832">
        <w:t xml:space="preserve"> </w:t>
      </w:r>
      <w:r w:rsidR="003129D8" w:rsidRPr="005A7832">
        <w:t>verifican</w:t>
      </w:r>
      <w:r w:rsidR="00221CBE" w:rsidRPr="005A7832">
        <w:t xml:space="preserve"> una baja capacidad de captura de recursos sobre la producción interna para financiar</w:t>
      </w:r>
      <w:r w:rsidR="003129D8" w:rsidRPr="005A7832">
        <w:t xml:space="preserve"> gastos vinculados a políticas fiscales centralizadas</w:t>
      </w:r>
      <w:r w:rsidR="00221CBE" w:rsidRPr="005A7832">
        <w:t xml:space="preserve">. Por otra parte, el paso del gobierno de Macri </w:t>
      </w:r>
      <w:r w:rsidR="006E5C0A" w:rsidRPr="005A7832">
        <w:t>debilitó aún más la capacidad recaudatoria del estado a través de modificaciones en las normas tributarias desfavorable para consumidores</w:t>
      </w:r>
      <w:r w:rsidR="00A849C6" w:rsidRPr="005A7832">
        <w:t xml:space="preserve"> y</w:t>
      </w:r>
      <w:r w:rsidR="006E5C0A" w:rsidRPr="005A7832">
        <w:t xml:space="preserve"> trabajadores y beneficiosa para las capas de mayor poder adquisitivo</w:t>
      </w:r>
      <w:r w:rsidR="00A849C6" w:rsidRPr="005A7832">
        <w:t>.</w:t>
      </w:r>
    </w:p>
    <w:p w:rsidR="00A40CDA" w:rsidRDefault="00A40CDA">
      <w:r>
        <w:br w:type="page"/>
      </w:r>
    </w:p>
    <w:p w:rsidR="006B59D4" w:rsidRDefault="006B59D4" w:rsidP="00A40CDA"/>
    <w:p w:rsidR="00981CEB" w:rsidRDefault="00173186">
      <w:pPr>
        <w:pStyle w:val="Normal1"/>
        <w:pBdr>
          <w:top w:val="nil"/>
          <w:left w:val="nil"/>
          <w:bottom w:val="nil"/>
          <w:right w:val="nil"/>
          <w:between w:val="nil"/>
        </w:pBdr>
        <w:spacing w:before="240" w:after="240"/>
        <w:jc w:val="both"/>
        <w:rPr>
          <w:b/>
        </w:rPr>
      </w:pPr>
      <w:r>
        <w:rPr>
          <w:b/>
        </w:rPr>
        <w:t>2. Argentina tiene una estructura tributaria regresiva</w:t>
      </w:r>
    </w:p>
    <w:p w:rsidR="00981CEB" w:rsidRDefault="000D5190">
      <w:pPr>
        <w:pStyle w:val="Normal1"/>
        <w:jc w:val="both"/>
      </w:pPr>
      <w:r>
        <w:tab/>
      </w:r>
      <w:r w:rsidR="00173186">
        <w:t>Partiendo de la premisa de que un sistema tributario debe preguntarse</w:t>
      </w:r>
      <w:r w:rsidR="00D60A38">
        <w:t xml:space="preserve"> con el mismo interés no solamente cuánto recauda sino también</w:t>
      </w:r>
      <w:r w:rsidR="00173186">
        <w:t xml:space="preserve"> a quiénes grava, resulta fundamental generar las condiciones para que la tributación en nuestro país se erija sobre una lógica equitativa de distribución de la carga tributaria, donde los impuestos viren de manera progresiva hacia los estratos más altos, gravando las más altas rentas, patrimonios y ganancias. </w:t>
      </w:r>
    </w:p>
    <w:p w:rsidR="00981CEB" w:rsidRDefault="00173186">
      <w:pPr>
        <w:pStyle w:val="Normal1"/>
        <w:spacing w:before="240" w:after="240"/>
        <w:jc w:val="both"/>
      </w:pPr>
      <w:r>
        <w:t xml:space="preserve">La regresividad de la estructura tributaria se funda en el preponderante peso de la recaudación de impuestos indirectos, que no permiten distinguir capacidad contributiva entre los agentes.  </w:t>
      </w:r>
    </w:p>
    <w:p w:rsidR="00005278" w:rsidRDefault="00173186">
      <w:pPr>
        <w:pStyle w:val="Normal1"/>
        <w:spacing w:before="240" w:after="240"/>
        <w:jc w:val="both"/>
      </w:pPr>
      <w:r>
        <w:t>Los datos recopilados por el Banco Mundial muestran que en Argentina sólo el 12,9% de la recaudación proviene de la imposición de impuestos directos sobre rentas, ganancias y utilidades. Este guarismo es significativamente más bajo que en otros países (Chile, Italia, Alemania por citar algunos). Además, los cambios normativ</w:t>
      </w:r>
      <w:r w:rsidR="003B2485">
        <w:t>o</w:t>
      </w:r>
      <w:r>
        <w:t>s impulsados durante el último gobierno no hicieron más que acentuar esta característica: en 2015, el 15,2% de la recaudación se explicaba por esta fuente</w:t>
      </w:r>
      <w:r w:rsidR="000D5190">
        <w:rPr>
          <w:rStyle w:val="Refdenotaalpie"/>
        </w:rPr>
        <w:footnoteReference w:id="6"/>
      </w:r>
      <w:r>
        <w:t xml:space="preserve">. </w:t>
      </w: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005278" w:rsidRDefault="00005278">
      <w:pPr>
        <w:pStyle w:val="Normal1"/>
        <w:spacing w:before="240" w:after="240"/>
        <w:jc w:val="both"/>
      </w:pPr>
    </w:p>
    <w:p w:rsidR="00981CEB" w:rsidRPr="00005278" w:rsidRDefault="00173186">
      <w:pPr>
        <w:pStyle w:val="Normal1"/>
        <w:spacing w:before="240" w:after="240"/>
        <w:jc w:val="both"/>
      </w:pPr>
      <w:r>
        <w:rPr>
          <w:b/>
          <w:sz w:val="22"/>
          <w:szCs w:val="22"/>
          <w:u w:val="single"/>
        </w:rPr>
        <w:t xml:space="preserve">Cuadro  Nº </w:t>
      </w:r>
      <w:r w:rsidR="00005278">
        <w:rPr>
          <w:b/>
          <w:sz w:val="22"/>
          <w:szCs w:val="22"/>
          <w:u w:val="single"/>
        </w:rPr>
        <w:t>4</w:t>
      </w:r>
      <w:r>
        <w:rPr>
          <w:b/>
          <w:sz w:val="22"/>
          <w:szCs w:val="22"/>
          <w:u w:val="single"/>
        </w:rPr>
        <w:t>: Impuestos directos (rentas, ganancias, utilidades), como % de la recaudación.  Diversos países. 2014-2017.</w:t>
      </w:r>
    </w:p>
    <w:p w:rsidR="00981CEB" w:rsidRDefault="00173186">
      <w:pPr>
        <w:pStyle w:val="Normal1"/>
        <w:jc w:val="center"/>
        <w:rPr>
          <w:b/>
          <w:u w:val="single"/>
        </w:rPr>
      </w:pPr>
      <w:r>
        <w:rPr>
          <w:b/>
          <w:noProof/>
          <w:u w:val="single"/>
          <w:lang w:val="es-AR" w:eastAsia="es-AR"/>
        </w:rPr>
        <w:drawing>
          <wp:inline distT="114300" distB="114300" distL="114300" distR="114300">
            <wp:extent cx="4702629" cy="3766501"/>
            <wp:effectExtent l="0" t="0" r="0" b="571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706959" cy="3769969"/>
                    </a:xfrm>
                    <a:prstGeom prst="rect">
                      <a:avLst/>
                    </a:prstGeom>
                    <a:ln/>
                  </pic:spPr>
                </pic:pic>
              </a:graphicData>
            </a:graphic>
          </wp:inline>
        </w:drawing>
      </w:r>
    </w:p>
    <w:p w:rsidR="00981CEB" w:rsidRDefault="00173186">
      <w:pPr>
        <w:pStyle w:val="Normal1"/>
        <w:rPr>
          <w:sz w:val="20"/>
          <w:szCs w:val="20"/>
        </w:rPr>
      </w:pPr>
      <w:r>
        <w:rPr>
          <w:sz w:val="20"/>
          <w:szCs w:val="20"/>
          <w:u w:val="single"/>
        </w:rPr>
        <w:t>Fuente:</w:t>
      </w:r>
      <w:r>
        <w:rPr>
          <w:sz w:val="20"/>
          <w:szCs w:val="20"/>
        </w:rPr>
        <w:t xml:space="preserve"> Elaboración propia en base a base de datos del Banco Mundial</w:t>
      </w:r>
    </w:p>
    <w:p w:rsidR="00981CEB" w:rsidRDefault="00981CEB">
      <w:pPr>
        <w:pStyle w:val="Normal1"/>
        <w:rPr>
          <w:sz w:val="20"/>
          <w:szCs w:val="20"/>
        </w:rPr>
      </w:pPr>
    </w:p>
    <w:p w:rsidR="005842BC" w:rsidRDefault="005842BC" w:rsidP="00C26E22">
      <w:pPr>
        <w:pStyle w:val="Normal1"/>
        <w:jc w:val="both"/>
      </w:pPr>
    </w:p>
    <w:p w:rsidR="005842BC" w:rsidRDefault="005842BC" w:rsidP="00C26E22">
      <w:pPr>
        <w:pStyle w:val="Normal1"/>
        <w:jc w:val="both"/>
      </w:pPr>
    </w:p>
    <w:p w:rsidR="008B0F10" w:rsidRDefault="00F73B0E" w:rsidP="008B0F10">
      <w:pPr>
        <w:jc w:val="both"/>
        <w:rPr>
          <w:rFonts w:eastAsia="Times New Roman" w:cs="Times New Roman"/>
          <w:color w:val="000000"/>
        </w:rPr>
      </w:pPr>
      <w:r>
        <w:rPr>
          <w:rFonts w:eastAsia="Times New Roman" w:cs="Times New Roman"/>
          <w:color w:val="000000"/>
        </w:rPr>
        <w:tab/>
      </w:r>
      <w:r w:rsidR="008B0F10" w:rsidRPr="00AB0DCA">
        <w:rPr>
          <w:rFonts w:eastAsia="Times New Roman" w:cs="Times New Roman"/>
          <w:color w:val="000000"/>
        </w:rPr>
        <w:t>La información de 2018</w:t>
      </w:r>
      <w:r w:rsidR="00714463">
        <w:rPr>
          <w:rFonts w:eastAsia="Times New Roman" w:cs="Times New Roman"/>
          <w:color w:val="000000"/>
        </w:rPr>
        <w:t xml:space="preserve"> provista por el BID y </w:t>
      </w:r>
      <w:r w:rsidR="00F4470D">
        <w:rPr>
          <w:rFonts w:eastAsia="Times New Roman" w:cs="Times New Roman"/>
          <w:color w:val="000000"/>
        </w:rPr>
        <w:t>el CIAT</w:t>
      </w:r>
      <w:r w:rsidR="008B0F10" w:rsidRPr="00AB0DCA">
        <w:rPr>
          <w:rFonts w:eastAsia="Times New Roman" w:cs="Times New Roman"/>
          <w:color w:val="000000"/>
        </w:rPr>
        <w:t xml:space="preserve"> indica que el nivel promedio de la presión fiscal en América Latina y el Caribe esta fundamentalmente sostenida sobre las bases al IVA, el Impuesto a las Ganancias y las contribuciones a la seguridad social. </w:t>
      </w:r>
    </w:p>
    <w:p w:rsidR="008B0F10" w:rsidRDefault="008B0F10" w:rsidP="008B0F10">
      <w:pPr>
        <w:jc w:val="both"/>
        <w:rPr>
          <w:rFonts w:eastAsia="Times New Roman" w:cs="Times New Roman"/>
          <w:color w:val="000000"/>
        </w:rPr>
      </w:pPr>
    </w:p>
    <w:p w:rsidR="008B0F10" w:rsidRDefault="008B0F10" w:rsidP="008B0F10">
      <w:pPr>
        <w:jc w:val="both"/>
        <w:rPr>
          <w:rFonts w:cs="Times New Roman"/>
        </w:rPr>
      </w:pPr>
      <w:r w:rsidRPr="00AB0DCA">
        <w:rPr>
          <w:rFonts w:eastAsia="Times New Roman" w:cs="Times New Roman"/>
          <w:color w:val="000000"/>
        </w:rPr>
        <w:t xml:space="preserve">Sin embargo, </w:t>
      </w:r>
      <w:r w:rsidR="00F4470D">
        <w:rPr>
          <w:rFonts w:eastAsia="Times New Roman" w:cs="Times New Roman"/>
          <w:color w:val="000000"/>
        </w:rPr>
        <w:t>existen distintas composiciones tributarias entre los países. L</w:t>
      </w:r>
      <w:r w:rsidR="00F4470D" w:rsidRPr="00F4470D">
        <w:rPr>
          <w:rFonts w:eastAsia="Times New Roman" w:cs="Times New Roman"/>
          <w:color w:val="000000"/>
        </w:rPr>
        <w:t>a incidencia de los impuestos directos en Argentina, a diferencia de Uruguay o Brasil, es baja, poniendo de manifiesto una configuración fuertemente regresiva</w:t>
      </w:r>
      <w:r>
        <w:rPr>
          <w:rFonts w:eastAsia="Times New Roman" w:cs="Times New Roman"/>
          <w:color w:val="000000"/>
        </w:rPr>
        <w:t>: m</w:t>
      </w:r>
      <w:r w:rsidRPr="00F4470D">
        <w:rPr>
          <w:rFonts w:eastAsia="Times New Roman" w:cs="Times New Roman"/>
          <w:color w:val="000000"/>
        </w:rPr>
        <w:t>ientras</w:t>
      </w:r>
      <w:r w:rsidRPr="00AB0DCA">
        <w:rPr>
          <w:rFonts w:cs="Times New Roman"/>
        </w:rPr>
        <w:t xml:space="preserve"> qu</w:t>
      </w:r>
      <w:r>
        <w:rPr>
          <w:rFonts w:cs="Times New Roman"/>
        </w:rPr>
        <w:t>e en Uruguay la incidencia del Impuesto a las G</w:t>
      </w:r>
      <w:r w:rsidRPr="00AB0DCA">
        <w:rPr>
          <w:rFonts w:cs="Times New Roman"/>
        </w:rPr>
        <w:t xml:space="preserve">anancias es </w:t>
      </w:r>
      <w:r w:rsidR="00F4470D">
        <w:rPr>
          <w:rFonts w:cs="Times New Roman"/>
        </w:rPr>
        <w:t xml:space="preserve">del </w:t>
      </w:r>
      <w:r>
        <w:rPr>
          <w:rFonts w:cs="Times New Roman"/>
        </w:rPr>
        <w:t>20,9%</w:t>
      </w:r>
      <w:r w:rsidR="00F4470D">
        <w:rPr>
          <w:rFonts w:cs="Times New Roman"/>
        </w:rPr>
        <w:t>,</w:t>
      </w:r>
      <w:r w:rsidRPr="00AB0DCA">
        <w:rPr>
          <w:rFonts w:cs="Times New Roman"/>
        </w:rPr>
        <w:t xml:space="preserve"> al igual que en Brasil (</w:t>
      </w:r>
      <w:r>
        <w:rPr>
          <w:rFonts w:cs="Times New Roman"/>
        </w:rPr>
        <w:t>20,8%)</w:t>
      </w:r>
      <w:r w:rsidRPr="00AB0DCA">
        <w:rPr>
          <w:rFonts w:cs="Times New Roman"/>
        </w:rPr>
        <w:t>, nuestro país refleja graves problemas para captar ingresos por esta vía (</w:t>
      </w:r>
      <w:r>
        <w:rPr>
          <w:rFonts w:cs="Times New Roman"/>
        </w:rPr>
        <w:t>15,9%</w:t>
      </w:r>
      <w:r w:rsidRPr="00AB0DCA">
        <w:rPr>
          <w:rFonts w:cs="Times New Roman"/>
        </w:rPr>
        <w:t xml:space="preserve">). </w:t>
      </w:r>
      <w:r>
        <w:rPr>
          <w:rFonts w:cs="Times New Roman"/>
        </w:rPr>
        <w:t>Algo similar sucede con la entrada de ingresos por medio del Impuesto al Patrimonio, ya que en Argentina pesa solamente un 2,5%</w:t>
      </w:r>
      <w:r w:rsidR="00F4470D">
        <w:rPr>
          <w:rFonts w:cs="Times New Roman"/>
        </w:rPr>
        <w:t xml:space="preserve"> mientras resulta ser del 4,6% en Brasil y del 5,9% en Uruguay</w:t>
      </w:r>
      <w:r>
        <w:rPr>
          <w:rFonts w:cs="Times New Roman"/>
        </w:rPr>
        <w:t xml:space="preserve">. </w:t>
      </w:r>
      <w:r w:rsidRPr="00AB0DCA">
        <w:rPr>
          <w:rFonts w:cs="Times New Roman"/>
        </w:rPr>
        <w:t xml:space="preserve">En este sentido es visible cómo </w:t>
      </w:r>
      <w:r>
        <w:rPr>
          <w:rFonts w:cs="Times New Roman"/>
        </w:rPr>
        <w:t>el sector público nacional</w:t>
      </w:r>
      <w:r w:rsidRPr="00AB0DCA">
        <w:rPr>
          <w:rFonts w:cs="Times New Roman"/>
        </w:rPr>
        <w:t xml:space="preserve">, en su intención por hacerse de recursos tributarios, confiere </w:t>
      </w:r>
      <w:r>
        <w:rPr>
          <w:rFonts w:cs="Times New Roman"/>
        </w:rPr>
        <w:t>mayor</w:t>
      </w:r>
      <w:r w:rsidRPr="00AB0DCA">
        <w:rPr>
          <w:rFonts w:cs="Times New Roman"/>
        </w:rPr>
        <w:t xml:space="preserve"> responsabilidad a los impuestos indirectos - IVA (</w:t>
      </w:r>
      <w:r>
        <w:rPr>
          <w:rFonts w:cs="Times New Roman"/>
        </w:rPr>
        <w:t>23,7%</w:t>
      </w:r>
      <w:r w:rsidRPr="00AB0DCA">
        <w:rPr>
          <w:rFonts w:cs="Times New Roman"/>
        </w:rPr>
        <w:t>) o contribuciones a la seguridad social (</w:t>
      </w:r>
      <w:r>
        <w:rPr>
          <w:rFonts w:cs="Times New Roman"/>
        </w:rPr>
        <w:t>19,3%)</w:t>
      </w:r>
      <w:r w:rsidR="00F4470D">
        <w:rPr>
          <w:rFonts w:cs="Times New Roman"/>
        </w:rPr>
        <w:t xml:space="preserve">. </w:t>
      </w:r>
    </w:p>
    <w:p w:rsidR="008B0F10" w:rsidRDefault="008B0F10" w:rsidP="008B0F10">
      <w:pPr>
        <w:jc w:val="both"/>
        <w:rPr>
          <w:rFonts w:cs="Times New Roman"/>
        </w:rPr>
      </w:pPr>
    </w:p>
    <w:p w:rsidR="008B0F10" w:rsidRDefault="008B0F10" w:rsidP="008B0F10">
      <w:pPr>
        <w:rPr>
          <w:rFonts w:eastAsia="Times New Roman" w:cs="Times New Roman"/>
          <w:b/>
          <w:bCs/>
          <w:color w:val="000000"/>
          <w:sz w:val="22"/>
          <w:szCs w:val="22"/>
          <w:u w:val="single"/>
        </w:rPr>
      </w:pPr>
      <w:r w:rsidRPr="00237449">
        <w:rPr>
          <w:rFonts w:eastAsia="Times New Roman" w:cs="Times New Roman"/>
          <w:b/>
          <w:bCs/>
          <w:color w:val="000000"/>
          <w:sz w:val="22"/>
          <w:szCs w:val="22"/>
          <w:u w:val="single"/>
        </w:rPr>
        <w:t xml:space="preserve">Cuadro  Nº </w:t>
      </w:r>
      <w:r w:rsidR="0036499D">
        <w:rPr>
          <w:rFonts w:eastAsia="Times New Roman" w:cs="Times New Roman"/>
          <w:b/>
          <w:bCs/>
          <w:color w:val="000000"/>
          <w:sz w:val="22"/>
          <w:szCs w:val="22"/>
          <w:u w:val="single"/>
        </w:rPr>
        <w:t>5</w:t>
      </w:r>
      <w:r w:rsidRPr="00237449">
        <w:rPr>
          <w:rFonts w:eastAsia="Times New Roman" w:cs="Times New Roman"/>
          <w:b/>
          <w:bCs/>
          <w:color w:val="000000"/>
          <w:sz w:val="22"/>
          <w:szCs w:val="22"/>
          <w:u w:val="single"/>
        </w:rPr>
        <w:t xml:space="preserve">: </w:t>
      </w:r>
      <w:r>
        <w:rPr>
          <w:rFonts w:eastAsia="Times New Roman" w:cs="Times New Roman"/>
          <w:b/>
          <w:bCs/>
          <w:color w:val="000000"/>
          <w:sz w:val="22"/>
          <w:szCs w:val="22"/>
          <w:u w:val="single"/>
        </w:rPr>
        <w:t>Estructura impositiva, como % de la presión tributaria total</w:t>
      </w:r>
      <w:r w:rsidRPr="00237449">
        <w:rPr>
          <w:rFonts w:eastAsia="Times New Roman" w:cs="Times New Roman"/>
          <w:b/>
          <w:bCs/>
          <w:color w:val="000000"/>
          <w:sz w:val="22"/>
          <w:szCs w:val="22"/>
          <w:u w:val="single"/>
        </w:rPr>
        <w:t xml:space="preserve">. Año 2018. Países seleccionados de América Latina. </w:t>
      </w:r>
    </w:p>
    <w:p w:rsidR="008B0F10" w:rsidRPr="00237449" w:rsidRDefault="008B0F10" w:rsidP="008B0F10">
      <w:pPr>
        <w:rPr>
          <w:rFonts w:ascii="Times" w:eastAsia="Times New Roman" w:hAnsi="Times" w:cs="Times New Roman"/>
          <w:sz w:val="20"/>
          <w:szCs w:val="20"/>
        </w:rPr>
      </w:pPr>
    </w:p>
    <w:p w:rsidR="008B0F10" w:rsidRDefault="008B0F10" w:rsidP="008B0F10">
      <w:pPr>
        <w:jc w:val="both"/>
        <w:rPr>
          <w:rFonts w:cs="Times New Roman"/>
        </w:rPr>
      </w:pPr>
      <w:r>
        <w:rPr>
          <w:noProof/>
          <w:lang w:val="es-AR" w:eastAsia="es-AR"/>
        </w:rPr>
        <w:drawing>
          <wp:inline distT="0" distB="0" distL="0" distR="0">
            <wp:extent cx="5486400" cy="1315085"/>
            <wp:effectExtent l="0" t="0" r="0" b="571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486400" cy="1315085"/>
                    </a:xfrm>
                    <a:prstGeom prst="rect">
                      <a:avLst/>
                    </a:prstGeom>
                  </pic:spPr>
                </pic:pic>
              </a:graphicData>
            </a:graphic>
          </wp:inline>
        </w:drawing>
      </w:r>
    </w:p>
    <w:p w:rsidR="008B0F10" w:rsidRPr="00A53F4C" w:rsidRDefault="008B0F10" w:rsidP="008B0F10">
      <w:pPr>
        <w:rPr>
          <w:rFonts w:ascii="Times" w:eastAsia="Times New Roman" w:hAnsi="Times" w:cs="Times New Roman"/>
          <w:sz w:val="20"/>
          <w:szCs w:val="20"/>
        </w:rPr>
      </w:pPr>
      <w:r w:rsidRPr="00A53F4C">
        <w:rPr>
          <w:rFonts w:eastAsia="Times New Roman" w:cs="Times New Roman"/>
          <w:color w:val="000000"/>
          <w:sz w:val="20"/>
          <w:szCs w:val="20"/>
          <w:u w:val="single"/>
        </w:rPr>
        <w:t xml:space="preserve">Fuente: </w:t>
      </w:r>
      <w:r w:rsidRPr="00A53F4C">
        <w:rPr>
          <w:rFonts w:eastAsia="Times New Roman" w:cs="Times New Roman"/>
          <w:color w:val="000000"/>
          <w:sz w:val="20"/>
          <w:szCs w:val="20"/>
        </w:rPr>
        <w:t>Elaboración propia en base a datos del BID-CIAT.</w:t>
      </w:r>
    </w:p>
    <w:p w:rsidR="005842BC" w:rsidRDefault="005842BC" w:rsidP="00C26E22">
      <w:pPr>
        <w:pStyle w:val="Normal1"/>
        <w:jc w:val="both"/>
      </w:pPr>
    </w:p>
    <w:p w:rsidR="005842BC" w:rsidRDefault="005842BC" w:rsidP="00C26E22">
      <w:pPr>
        <w:pStyle w:val="Normal1"/>
        <w:jc w:val="both"/>
      </w:pPr>
    </w:p>
    <w:p w:rsidR="005842BC" w:rsidRDefault="005842BC" w:rsidP="00C26E22">
      <w:pPr>
        <w:pStyle w:val="Normal1"/>
        <w:jc w:val="both"/>
      </w:pPr>
    </w:p>
    <w:p w:rsidR="00981CEB" w:rsidRDefault="008C10C7" w:rsidP="00E5638F">
      <w:pPr>
        <w:jc w:val="both"/>
      </w:pPr>
      <w:r>
        <w:tab/>
      </w:r>
      <w:r w:rsidR="00173186">
        <w:t xml:space="preserve">En el Cuadro Nº3 se vuelcan los datos publicados por la </w:t>
      </w:r>
      <w:r w:rsidR="00796DCA">
        <w:t xml:space="preserve">Dirección </w:t>
      </w:r>
      <w:r w:rsidR="00796DCA" w:rsidRPr="009C1E0D">
        <w:t>Nacional</w:t>
      </w:r>
      <w:r w:rsidR="009C1E0D" w:rsidRPr="009C1E0D">
        <w:t xml:space="preserve"> de Investigación y análisis Fisca</w:t>
      </w:r>
      <w:r w:rsidR="009C1E0D">
        <w:t>l</w:t>
      </w:r>
      <w:r w:rsidR="00173186">
        <w:t xml:space="preserve"> del Ministerio de </w:t>
      </w:r>
      <w:r w:rsidR="00C26E22">
        <w:t>Economía</w:t>
      </w:r>
      <w:r w:rsidR="00173186">
        <w:t xml:space="preserve"> de la Nación. Se observa que la principal fuente de recursos tributarios de nuestra economía son los impuestos internos sobre bienes y servicios. El peso de estos duplica la presión tributaria de los impuestos a los ingresos, las utilidades y las ganancias de capital. El Impuesto al Valor Agregado aporta casi 76 veces más que lo recaudado por el impuesto a los Bienes Personales. </w:t>
      </w:r>
    </w:p>
    <w:p w:rsidR="00981CEB" w:rsidRDefault="00981CEB" w:rsidP="00E5638F">
      <w:pPr>
        <w:pStyle w:val="Normal1"/>
        <w:jc w:val="both"/>
      </w:pPr>
    </w:p>
    <w:p w:rsidR="00981CEB" w:rsidRDefault="008C10C7">
      <w:pPr>
        <w:pStyle w:val="Normal1"/>
        <w:jc w:val="both"/>
      </w:pPr>
      <w:r>
        <w:tab/>
      </w:r>
      <w:r w:rsidR="00173186">
        <w:t xml:space="preserve">A la regresividad propia de los impuestos indirectos, se suma su ineficiencia en materia de política pública por la directa vinculación de su recaudación con el ciclo económico. Sin embargo, es innegable la eficacia de estos impuestos en materia recaudatoria. Un ejemplo de esto es el acabado consenso que existe en torno a la baja calidad del impuesto sobre los créditos y </w:t>
      </w:r>
      <w:r w:rsidR="00C26E22">
        <w:t>débitos</w:t>
      </w:r>
      <w:r w:rsidR="00173186">
        <w:t xml:space="preserve"> bancarios como herramienta tributaria, pero la incapacidad de todos los gobiernos de desarticularlo, por su continuo aporte recaudatorio.   </w:t>
      </w:r>
    </w:p>
    <w:p w:rsidR="00981CEB" w:rsidRDefault="00981CEB">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4A5CC8" w:rsidRDefault="004A5CC8">
      <w:pPr>
        <w:pStyle w:val="Normal1"/>
        <w:jc w:val="both"/>
      </w:pPr>
    </w:p>
    <w:p w:rsidR="00765D7D" w:rsidRDefault="00765D7D">
      <w:pPr>
        <w:pStyle w:val="Normal1"/>
        <w:jc w:val="both"/>
      </w:pPr>
    </w:p>
    <w:p w:rsidR="00765D7D" w:rsidRDefault="00765D7D">
      <w:pPr>
        <w:pStyle w:val="Normal1"/>
        <w:jc w:val="both"/>
      </w:pPr>
    </w:p>
    <w:p w:rsidR="004A5CC8" w:rsidRDefault="004A5CC8">
      <w:pPr>
        <w:pStyle w:val="Normal1"/>
        <w:jc w:val="both"/>
      </w:pPr>
    </w:p>
    <w:p w:rsidR="003B2B37" w:rsidRDefault="003B2B37">
      <w:pPr>
        <w:pStyle w:val="Normal1"/>
        <w:jc w:val="both"/>
      </w:pPr>
    </w:p>
    <w:p w:rsidR="003B2B37" w:rsidRDefault="003B2B37">
      <w:pPr>
        <w:pStyle w:val="Normal1"/>
        <w:jc w:val="both"/>
      </w:pPr>
    </w:p>
    <w:p w:rsidR="004A5CC8" w:rsidRDefault="004A5CC8">
      <w:pPr>
        <w:pStyle w:val="Normal1"/>
        <w:jc w:val="both"/>
      </w:pPr>
    </w:p>
    <w:p w:rsidR="00981CEB" w:rsidRDefault="00173186">
      <w:pPr>
        <w:pStyle w:val="Normal1"/>
        <w:spacing w:before="240" w:after="240"/>
        <w:jc w:val="both"/>
        <w:rPr>
          <w:sz w:val="22"/>
          <w:szCs w:val="22"/>
          <w:shd w:val="clear" w:color="auto" w:fill="B7B7B7"/>
        </w:rPr>
      </w:pPr>
      <w:r>
        <w:rPr>
          <w:b/>
          <w:sz w:val="22"/>
          <w:szCs w:val="22"/>
          <w:u w:val="single"/>
        </w:rPr>
        <w:t xml:space="preserve">Cuadro  Nº </w:t>
      </w:r>
      <w:r w:rsidR="003B2B37">
        <w:rPr>
          <w:b/>
          <w:sz w:val="22"/>
          <w:szCs w:val="22"/>
          <w:u w:val="single"/>
        </w:rPr>
        <w:t>6</w:t>
      </w:r>
      <w:r>
        <w:rPr>
          <w:b/>
          <w:sz w:val="22"/>
          <w:szCs w:val="22"/>
          <w:u w:val="single"/>
        </w:rPr>
        <w:t>: Recaudación Tributaria total, como % PBI. 2014-2018.</w:t>
      </w:r>
    </w:p>
    <w:p w:rsidR="00981CEB" w:rsidRDefault="00173186" w:rsidP="00714463">
      <w:pPr>
        <w:pStyle w:val="Normal1"/>
        <w:jc w:val="center"/>
        <w:rPr>
          <w:shd w:val="clear" w:color="auto" w:fill="B7B7B7"/>
        </w:rPr>
      </w:pPr>
      <w:r>
        <w:rPr>
          <w:noProof/>
          <w:shd w:val="clear" w:color="auto" w:fill="B7B7B7"/>
          <w:lang w:val="es-AR" w:eastAsia="es-AR"/>
        </w:rPr>
        <w:drawing>
          <wp:inline distT="114300" distB="114300" distL="114300" distR="114300">
            <wp:extent cx="4741520" cy="50815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741520" cy="5081588"/>
                    </a:xfrm>
                    <a:prstGeom prst="rect">
                      <a:avLst/>
                    </a:prstGeom>
                    <a:ln/>
                  </pic:spPr>
                </pic:pic>
              </a:graphicData>
            </a:graphic>
          </wp:inline>
        </w:drawing>
      </w:r>
    </w:p>
    <w:p w:rsidR="00981CEB" w:rsidRDefault="00173186">
      <w:pPr>
        <w:pStyle w:val="Normal1"/>
        <w:jc w:val="both"/>
        <w:rPr>
          <w:sz w:val="20"/>
          <w:szCs w:val="20"/>
        </w:rPr>
      </w:pPr>
      <w:r>
        <w:rPr>
          <w:sz w:val="20"/>
          <w:szCs w:val="20"/>
          <w:u w:val="single"/>
        </w:rPr>
        <w:t>Fuente:</w:t>
      </w:r>
      <w:r>
        <w:rPr>
          <w:sz w:val="20"/>
          <w:szCs w:val="20"/>
        </w:rPr>
        <w:t xml:space="preserve"> DIRECCIÓN N</w:t>
      </w:r>
      <w:r w:rsidR="00C26E22">
        <w:rPr>
          <w:sz w:val="20"/>
          <w:szCs w:val="20"/>
        </w:rPr>
        <w:t>ACIONAL DE INVESTIGACIONES Y ANÁ</w:t>
      </w:r>
      <w:r>
        <w:rPr>
          <w:sz w:val="20"/>
          <w:szCs w:val="20"/>
        </w:rPr>
        <w:t>LISIS FISCAL - MECON</w:t>
      </w:r>
    </w:p>
    <w:p w:rsidR="00981CEB" w:rsidRDefault="008C10C7">
      <w:pPr>
        <w:pStyle w:val="Normal1"/>
        <w:spacing w:before="240" w:after="240"/>
        <w:jc w:val="both"/>
      </w:pPr>
      <w:r>
        <w:tab/>
      </w:r>
      <w:r w:rsidR="00173186">
        <w:t>El esquema tributario argentino llega con muy poca fuerza a la</w:t>
      </w:r>
      <w:r w:rsidR="00F4470D">
        <w:t>s</w:t>
      </w:r>
      <w:r w:rsidR="00173186">
        <w:t xml:space="preserve"> capas más altas de poder adquisitivo y contributivo. Esto es así, entre otros factores, por la combinación de mínimos no imponibles y </w:t>
      </w:r>
      <w:r w:rsidR="00C26E22">
        <w:t>alícuotas</w:t>
      </w:r>
      <w:r w:rsidR="00055164">
        <w:t xml:space="preserve">, y también por la falta de adecuación de los sistemas administrativos y de regulación y control estatal que no son apropiados en muchos casos para lidiar con las maniobras de planificación fiscal nociva que llevan adelante los agentes principales del poder económico. </w:t>
      </w:r>
    </w:p>
    <w:p w:rsidR="00981CEB" w:rsidRDefault="008C10C7">
      <w:pPr>
        <w:pStyle w:val="Normal1"/>
        <w:spacing w:before="240" w:after="240"/>
        <w:jc w:val="both"/>
      </w:pPr>
      <w:r>
        <w:tab/>
      </w:r>
      <w:r w:rsidR="00173186">
        <w:t xml:space="preserve">En Argentina, el Impuesto a </w:t>
      </w:r>
      <w:r w:rsidR="00055164">
        <w:t>las Ganancias presenta alícuota</w:t>
      </w:r>
      <w:r w:rsidR="00173186">
        <w:t xml:space="preserve"> máxima para las rentas de las empresas del 30%, ese porcentaje llega a 35% para las personas. En términos del alcance del impuesto sobre los Bienes Personales, la alícuota más alta de la escala es del 1,25% para una valuación conjunta de los bienes superior a $18 millones. </w:t>
      </w:r>
    </w:p>
    <w:p w:rsidR="00981CEB" w:rsidRDefault="008C10C7">
      <w:pPr>
        <w:pStyle w:val="Normal1"/>
        <w:spacing w:before="240" w:after="240"/>
        <w:jc w:val="both"/>
      </w:pPr>
      <w:r>
        <w:tab/>
      </w:r>
      <w:r w:rsidR="00173186">
        <w:t xml:space="preserve">Una vez más, la comparación internacional nos muestra que otras naciones son mucho más potentes al momento de gravar las manifestaciones de riqueza: en los países europeos se pueden encontrar ejemplos donde las alícuotas progresivas llegan hasta el 50% (UK), en Francia llegan al 45%, en Grecia al 44% y así. Entre los países asiáticos, Corea llega al 42% y Japón al 45%. Incluso en los Estados Unidos, la tasa llega al 37%.   </w:t>
      </w:r>
    </w:p>
    <w:p w:rsidR="00981CEB" w:rsidRDefault="00405F27">
      <w:pPr>
        <w:pStyle w:val="Normal1"/>
        <w:spacing w:before="240" w:after="240"/>
        <w:jc w:val="both"/>
      </w:pPr>
      <w:r>
        <w:tab/>
      </w:r>
      <w:r w:rsidR="00173186">
        <w:t xml:space="preserve">El Impuesto a las Ganancias para empresas tiene </w:t>
      </w:r>
      <w:r w:rsidR="002E2AEF">
        <w:t>una alícuota promedio internacional</w:t>
      </w:r>
      <w:r w:rsidR="00173186">
        <w:t xml:space="preserve"> del 23%, incluyendo todos los países asiáticos que sólo gravan a las empresas extranjeras y las rentas petroleras. La mayoría de los países comparables imponen tasas del rededor de los 30 puntos, como Argentina</w:t>
      </w:r>
      <w:r w:rsidR="00173186">
        <w:rPr>
          <w:vertAlign w:val="superscript"/>
        </w:rPr>
        <w:footnoteReference w:id="7"/>
      </w:r>
      <w:r w:rsidR="00173186">
        <w:t xml:space="preserve">.    </w:t>
      </w:r>
    </w:p>
    <w:p w:rsidR="005813CC" w:rsidRDefault="005813CC">
      <w:pPr>
        <w:pStyle w:val="Normal1"/>
        <w:spacing w:before="240" w:after="240"/>
        <w:jc w:val="both"/>
      </w:pPr>
    </w:p>
    <w:p w:rsidR="009D146B" w:rsidRPr="00AD5DCF" w:rsidRDefault="005813CC">
      <w:pPr>
        <w:pStyle w:val="Normal1"/>
        <w:spacing w:before="240" w:after="240"/>
        <w:jc w:val="both"/>
        <w:rPr>
          <w:b/>
        </w:rPr>
      </w:pPr>
      <w:r>
        <w:rPr>
          <w:b/>
        </w:rPr>
        <w:t>3. Los ricos de la Argentina</w:t>
      </w:r>
      <w:r w:rsidR="00AF2E1E">
        <w:rPr>
          <w:b/>
        </w:rPr>
        <w:t>, evasión y fuga</w:t>
      </w:r>
      <w:r>
        <w:rPr>
          <w:b/>
        </w:rPr>
        <w:t xml:space="preserve"> </w:t>
      </w:r>
    </w:p>
    <w:p w:rsidR="00D86EBA" w:rsidRDefault="009D146B">
      <w:pPr>
        <w:pStyle w:val="Normal1"/>
        <w:spacing w:before="240" w:after="240"/>
        <w:jc w:val="both"/>
      </w:pPr>
      <w:r>
        <w:tab/>
      </w:r>
      <w:r w:rsidR="00AD5DCF">
        <w:t xml:space="preserve">Nuestro país no tiene un problema de producción de riqueza, por el contrario, la abundancia de recursos naturales y la formidable capacidad del trabajo nacional </w:t>
      </w:r>
      <w:r w:rsidR="00D86EBA">
        <w:t>permiten una extraordinaria productividad en términos generales. El problema de la Argentina es su distribución, la exorbitante apropiación privada y privatización de la producción nacional</w:t>
      </w:r>
      <w:r w:rsidR="00AD5DCF">
        <w:t xml:space="preserve"> </w:t>
      </w:r>
      <w:r w:rsidR="00D86EBA">
        <w:t xml:space="preserve">convertida en fortuna propiedad de un conjunto de actores económicos y la deliberada fuga al exterior. </w:t>
      </w:r>
      <w:r>
        <w:t xml:space="preserve"> </w:t>
      </w:r>
    </w:p>
    <w:p w:rsidR="005813CC" w:rsidRDefault="00D86EBA">
      <w:pPr>
        <w:pStyle w:val="Normal1"/>
        <w:spacing w:before="240" w:after="240"/>
        <w:jc w:val="both"/>
      </w:pPr>
      <w:r>
        <w:tab/>
      </w:r>
      <w:r w:rsidR="00423913">
        <w:t>Al año 2019, sobre la base de la información de la revista Forbes, se sabe que e</w:t>
      </w:r>
      <w:r w:rsidR="00081F06">
        <w:t xml:space="preserve">n la Argentina </w:t>
      </w:r>
      <w:r w:rsidR="00F6051E">
        <w:t xml:space="preserve">existen </w:t>
      </w:r>
      <w:r w:rsidR="00423913">
        <w:t>5</w:t>
      </w:r>
      <w:r w:rsidR="00F6051E">
        <w:t xml:space="preserve">0 </w:t>
      </w:r>
      <w:r>
        <w:t>personas</w:t>
      </w:r>
      <w:r w:rsidR="00F6051E">
        <w:t xml:space="preserve"> que acumulan </w:t>
      </w:r>
      <w:r w:rsidR="000D041E">
        <w:t>una fortuna equivalente</w:t>
      </w:r>
      <w:r w:rsidR="00F6051E">
        <w:t xml:space="preserve"> a los U$S</w:t>
      </w:r>
      <w:r w:rsidR="00423913">
        <w:t xml:space="preserve"> </w:t>
      </w:r>
      <w:r w:rsidR="00F6051E">
        <w:t>57</w:t>
      </w:r>
      <w:r w:rsidR="00423913">
        <w:t>.920</w:t>
      </w:r>
      <w:r w:rsidR="00F6051E">
        <w:t xml:space="preserve"> millones </w:t>
      </w:r>
      <w:r w:rsidR="00423913">
        <w:t>(superando incluso el monto acumulado de reservas en el banco central). De éstos, 11 superan los U$S 1.000 millones</w:t>
      </w:r>
      <w:r w:rsidR="00423913">
        <w:rPr>
          <w:rStyle w:val="Refdenotaalpie"/>
        </w:rPr>
        <w:footnoteReference w:id="8"/>
      </w:r>
      <w:r w:rsidR="00423913">
        <w:t xml:space="preserve">. </w:t>
      </w:r>
    </w:p>
    <w:p w:rsidR="006766D0" w:rsidRDefault="00423913">
      <w:pPr>
        <w:pStyle w:val="Normal1"/>
        <w:spacing w:before="240" w:after="240"/>
        <w:jc w:val="both"/>
      </w:pPr>
      <w:r>
        <w:tab/>
        <w:t>Según otras fuentes</w:t>
      </w:r>
      <w:r w:rsidR="00D86EBA">
        <w:t xml:space="preserve"> internacionales especializadas</w:t>
      </w:r>
      <w:r w:rsidR="00D86EBA">
        <w:rPr>
          <w:rStyle w:val="Refdenotaalpie"/>
        </w:rPr>
        <w:footnoteReference w:id="9"/>
      </w:r>
      <w:r w:rsidR="00D86EBA">
        <w:t xml:space="preserve">, hay 1.040 individuos con riqueza neta </w:t>
      </w:r>
      <w:proofErr w:type="spellStart"/>
      <w:r w:rsidR="00D86EBA">
        <w:t>super</w:t>
      </w:r>
      <w:proofErr w:type="spellEnd"/>
      <w:r w:rsidR="00D86EBA">
        <w:t xml:space="preserve"> alta, es decir, que superan </w:t>
      </w:r>
      <w:r w:rsidR="000D041E">
        <w:t>el patrimonio</w:t>
      </w:r>
      <w:r w:rsidR="00D86EBA">
        <w:t xml:space="preserve"> de U$S 30 millones. El promedio por persona es de U$S 135 millones. Si ampliamos el universo se verifica que los millonarios en Argentina (que superan el millón de dólares) </w:t>
      </w:r>
      <w:proofErr w:type="gramStart"/>
      <w:r w:rsidR="00D86EBA">
        <w:t>es</w:t>
      </w:r>
      <w:proofErr w:type="gramEnd"/>
      <w:r w:rsidR="00D86EBA">
        <w:t xml:space="preserve"> aún mayor, de 114 mil individuos</w:t>
      </w:r>
      <w:r w:rsidR="0094319B">
        <w:t xml:space="preserve">. Si bien no precisa con exactitud el patrimonio acumulado, la estimación de la consultora privada indica que (sosteniendo el promedio </w:t>
      </w:r>
      <w:r w:rsidR="00E50ED1">
        <w:t xml:space="preserve">de 14,8 millones </w:t>
      </w:r>
      <w:r w:rsidR="0094319B">
        <w:t>de América Latina), estas 114 mil fortunas poseen un total de 1,7 billones de dólares.</w:t>
      </w:r>
    </w:p>
    <w:p w:rsidR="00481E1A" w:rsidRDefault="006766D0">
      <w:pPr>
        <w:pStyle w:val="Normal1"/>
        <w:spacing w:before="240" w:after="240"/>
        <w:jc w:val="both"/>
      </w:pPr>
      <w:r>
        <w:tab/>
        <w:t xml:space="preserve">Recientemente se conoció un informe de AFIP (difundido </w:t>
      </w:r>
      <w:r w:rsidR="00CB6467">
        <w:t xml:space="preserve">y trabajado </w:t>
      </w:r>
      <w:r>
        <w:t xml:space="preserve">por el periodista Alejandro </w:t>
      </w:r>
      <w:proofErr w:type="spellStart"/>
      <w:r>
        <w:t>Bercovich</w:t>
      </w:r>
      <w:proofErr w:type="spellEnd"/>
      <w:r>
        <w:t xml:space="preserve">) que precisa detalles sobre las fortunas de los argentinos que declaran en el impuesto de Bienes Personales. </w:t>
      </w:r>
      <w:r w:rsidR="00D86EBA">
        <w:t xml:space="preserve"> </w:t>
      </w:r>
      <w:r w:rsidR="00297D2E">
        <w:t xml:space="preserve">Según surge de la información, hay 32.484 personas que declaran fortunas superiores al millón de dólares. Ello representaría el </w:t>
      </w:r>
      <w:r w:rsidR="00CB6467">
        <w:t xml:space="preserve">28,4% de la magnitud de millonarios detectados por la consultora </w:t>
      </w:r>
      <w:proofErr w:type="spellStart"/>
      <w:r w:rsidR="00CB6467">
        <w:t>Capgemini</w:t>
      </w:r>
      <w:proofErr w:type="spellEnd"/>
      <w:r w:rsidR="00CB6467">
        <w:t xml:space="preserve"> lo que estaría indicando que cerca de 81.500 personas millonarias no declaran o </w:t>
      </w:r>
      <w:proofErr w:type="spellStart"/>
      <w:r w:rsidR="00CB6467">
        <w:t>subdeclaran</w:t>
      </w:r>
      <w:proofErr w:type="spellEnd"/>
      <w:r w:rsidR="00CB6467">
        <w:t xml:space="preserve"> sus fortunas ante AFIP. </w:t>
      </w:r>
      <w:r w:rsidR="00D03ECC">
        <w:t>Los 32 mil acumulan en conjunto al 2017 un</w:t>
      </w:r>
      <w:r w:rsidR="00351DF9">
        <w:t>a fortuna de</w:t>
      </w:r>
      <w:r w:rsidR="00D03ECC">
        <w:t xml:space="preserve"> U$S 104.534 millones</w:t>
      </w:r>
      <w:r w:rsidR="00B97F36">
        <w:t>, lo que permite inferi</w:t>
      </w:r>
      <w:r w:rsidR="00D03ECC">
        <w:t xml:space="preserve">r que considerando un promedio similar para el conjunto de los millonarios evasores, </w:t>
      </w:r>
      <w:r w:rsidR="00351DF9">
        <w:t xml:space="preserve">la fortuna adicional </w:t>
      </w:r>
      <w:r w:rsidR="00167E68">
        <w:t>del conjunto</w:t>
      </w:r>
      <w:r w:rsidR="00351DF9">
        <w:t xml:space="preserve"> se </w:t>
      </w:r>
      <w:r w:rsidR="0018713F">
        <w:t>triplicaría</w:t>
      </w:r>
      <w:r w:rsidR="000C6570">
        <w:t xml:space="preserve"> sumando U$S 262.320 millones más. Si consideramos, en cambio, el promedio patrimonial de la consultora privada, el adicional sería mayor al 1,2 billón de dólares.</w:t>
      </w:r>
    </w:p>
    <w:p w:rsidR="005E6723" w:rsidRDefault="005E6723" w:rsidP="000C6570">
      <w:pPr>
        <w:pStyle w:val="Normal1"/>
        <w:spacing w:before="240" w:after="240"/>
        <w:jc w:val="both"/>
      </w:pPr>
    </w:p>
    <w:p w:rsidR="000C6570" w:rsidRDefault="000C6570" w:rsidP="000C6570">
      <w:pPr>
        <w:pStyle w:val="Normal1"/>
        <w:spacing w:before="240" w:after="240"/>
        <w:jc w:val="both"/>
        <w:rPr>
          <w:b/>
          <w:sz w:val="22"/>
          <w:szCs w:val="22"/>
          <w:u w:val="single"/>
        </w:rPr>
      </w:pPr>
      <w:r>
        <w:rPr>
          <w:b/>
          <w:sz w:val="22"/>
          <w:szCs w:val="22"/>
          <w:u w:val="single"/>
        </w:rPr>
        <w:t xml:space="preserve">Cuadro  Nº </w:t>
      </w:r>
      <w:r w:rsidR="003B2B37">
        <w:rPr>
          <w:b/>
          <w:sz w:val="22"/>
          <w:szCs w:val="22"/>
          <w:u w:val="single"/>
        </w:rPr>
        <w:t>7</w:t>
      </w:r>
      <w:r>
        <w:rPr>
          <w:b/>
          <w:sz w:val="22"/>
          <w:szCs w:val="22"/>
          <w:u w:val="single"/>
        </w:rPr>
        <w:t>:</w:t>
      </w:r>
      <w:r w:rsidR="00687410">
        <w:rPr>
          <w:b/>
          <w:sz w:val="22"/>
          <w:szCs w:val="22"/>
          <w:u w:val="single"/>
        </w:rPr>
        <w:t xml:space="preserve"> Estimación de las fortunas sobre la base de la</w:t>
      </w:r>
      <w:r>
        <w:rPr>
          <w:b/>
          <w:sz w:val="22"/>
          <w:szCs w:val="22"/>
          <w:u w:val="single"/>
        </w:rPr>
        <w:t xml:space="preserve"> </w:t>
      </w:r>
      <w:proofErr w:type="spellStart"/>
      <w:r w:rsidR="00687410">
        <w:rPr>
          <w:b/>
          <w:sz w:val="22"/>
          <w:szCs w:val="22"/>
          <w:u w:val="single"/>
        </w:rPr>
        <w:t>c</w:t>
      </w:r>
      <w:r>
        <w:rPr>
          <w:b/>
          <w:sz w:val="22"/>
          <w:szCs w:val="22"/>
          <w:u w:val="single"/>
        </w:rPr>
        <w:t>eclaración</w:t>
      </w:r>
      <w:proofErr w:type="spellEnd"/>
      <w:r>
        <w:rPr>
          <w:b/>
          <w:sz w:val="22"/>
          <w:szCs w:val="22"/>
          <w:u w:val="single"/>
        </w:rPr>
        <w:t xml:space="preserve"> del Impuesto a Bienes Personales</w:t>
      </w:r>
      <w:r w:rsidR="00687410">
        <w:rPr>
          <w:b/>
          <w:sz w:val="22"/>
          <w:szCs w:val="22"/>
          <w:u w:val="single"/>
        </w:rPr>
        <w:t xml:space="preserve"> y datos de consultoras especializadas</w:t>
      </w:r>
      <w:r>
        <w:rPr>
          <w:b/>
          <w:sz w:val="22"/>
          <w:szCs w:val="22"/>
          <w:u w:val="single"/>
        </w:rPr>
        <w:t xml:space="preserve">  </w:t>
      </w:r>
    </w:p>
    <w:p w:rsidR="000106EA" w:rsidRPr="000C6570" w:rsidRDefault="000C6570">
      <w:pPr>
        <w:pStyle w:val="Normal1"/>
        <w:spacing w:before="240" w:after="240"/>
        <w:jc w:val="both"/>
        <w:rPr>
          <w:b/>
          <w:sz w:val="22"/>
          <w:szCs w:val="22"/>
          <w:u w:val="single"/>
        </w:rPr>
      </w:pPr>
      <w:r w:rsidRPr="000C6570">
        <w:rPr>
          <w:b/>
          <w:noProof/>
          <w:sz w:val="22"/>
          <w:szCs w:val="22"/>
          <w:u w:val="single"/>
          <w:lang w:val="es-AR" w:eastAsia="es-AR"/>
        </w:rPr>
        <w:drawing>
          <wp:inline distT="0" distB="0" distL="0" distR="0">
            <wp:extent cx="5486400" cy="11347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134745"/>
                    </a:xfrm>
                    <a:prstGeom prst="rect">
                      <a:avLst/>
                    </a:prstGeom>
                  </pic:spPr>
                </pic:pic>
              </a:graphicData>
            </a:graphic>
          </wp:inline>
        </w:drawing>
      </w:r>
    </w:p>
    <w:p w:rsidR="00E003D0" w:rsidRDefault="00765D7D" w:rsidP="00AD1C66">
      <w:pPr>
        <w:pStyle w:val="Normal1"/>
        <w:numPr>
          <w:ilvl w:val="3"/>
          <w:numId w:val="2"/>
        </w:numPr>
        <w:ind w:left="706"/>
        <w:jc w:val="both"/>
        <w:rPr>
          <w:sz w:val="20"/>
          <w:szCs w:val="20"/>
        </w:rPr>
      </w:pPr>
      <w:r w:rsidRPr="00E003D0">
        <w:rPr>
          <w:sz w:val="20"/>
          <w:szCs w:val="20"/>
        </w:rPr>
        <w:t xml:space="preserve">Estimación Mínima: </w:t>
      </w:r>
      <w:r w:rsidR="00E003D0">
        <w:rPr>
          <w:sz w:val="20"/>
          <w:szCs w:val="20"/>
        </w:rPr>
        <w:t>supone</w:t>
      </w:r>
      <w:r w:rsidRPr="00E003D0">
        <w:rPr>
          <w:sz w:val="20"/>
          <w:szCs w:val="20"/>
        </w:rPr>
        <w:t xml:space="preserve"> que el patrimonio promedio es</w:t>
      </w:r>
      <w:r w:rsidR="00E003D0" w:rsidRPr="00E003D0">
        <w:rPr>
          <w:sz w:val="20"/>
          <w:szCs w:val="20"/>
        </w:rPr>
        <w:t xml:space="preserve"> equivalente al declarado en AFIP</w:t>
      </w:r>
      <w:r w:rsidR="00E003D0">
        <w:rPr>
          <w:sz w:val="20"/>
          <w:szCs w:val="20"/>
        </w:rPr>
        <w:t xml:space="preserve"> (3,2 millones)</w:t>
      </w:r>
    </w:p>
    <w:p w:rsidR="00484AD4" w:rsidRPr="00484AD4" w:rsidRDefault="00E003D0" w:rsidP="00AD1C66">
      <w:pPr>
        <w:pStyle w:val="Normal1"/>
        <w:numPr>
          <w:ilvl w:val="3"/>
          <w:numId w:val="2"/>
        </w:numPr>
        <w:ind w:left="706"/>
        <w:jc w:val="both"/>
        <w:rPr>
          <w:sz w:val="20"/>
          <w:szCs w:val="20"/>
        </w:rPr>
      </w:pPr>
      <w:r>
        <w:rPr>
          <w:sz w:val="20"/>
          <w:szCs w:val="20"/>
        </w:rPr>
        <w:t>Estimación Máxima: supone</w:t>
      </w:r>
      <w:r w:rsidRPr="00E003D0">
        <w:rPr>
          <w:sz w:val="20"/>
          <w:szCs w:val="20"/>
        </w:rPr>
        <w:t xml:space="preserve"> que el patrimonio promedio es equivalente al </w:t>
      </w:r>
      <w:r>
        <w:rPr>
          <w:sz w:val="20"/>
          <w:szCs w:val="20"/>
        </w:rPr>
        <w:t>verificado por</w:t>
      </w:r>
      <w:r w:rsidRPr="00E003D0">
        <w:rPr>
          <w:sz w:val="20"/>
          <w:szCs w:val="20"/>
        </w:rPr>
        <w:t xml:space="preserve"> </w:t>
      </w:r>
      <w:proofErr w:type="spellStart"/>
      <w:r w:rsidRPr="00E003D0">
        <w:rPr>
          <w:sz w:val="20"/>
          <w:szCs w:val="20"/>
        </w:rPr>
        <w:t>Capgemini</w:t>
      </w:r>
      <w:proofErr w:type="spellEnd"/>
      <w:r w:rsidRPr="00E003D0">
        <w:rPr>
          <w:sz w:val="20"/>
          <w:szCs w:val="20"/>
        </w:rPr>
        <w:t xml:space="preserve"> </w:t>
      </w:r>
      <w:r>
        <w:rPr>
          <w:sz w:val="20"/>
          <w:szCs w:val="20"/>
        </w:rPr>
        <w:t>(14,8 millones)</w:t>
      </w:r>
    </w:p>
    <w:p w:rsidR="00254A39" w:rsidRPr="00254A39" w:rsidRDefault="00254A39" w:rsidP="00AD1C66">
      <w:pPr>
        <w:ind w:left="360"/>
        <w:jc w:val="both"/>
        <w:rPr>
          <w:sz w:val="20"/>
        </w:rPr>
      </w:pPr>
      <w:r w:rsidRPr="00254A39">
        <w:rPr>
          <w:sz w:val="20"/>
          <w:u w:val="single"/>
        </w:rPr>
        <w:t>Fuente</w:t>
      </w:r>
      <w:r w:rsidRPr="00254A39">
        <w:rPr>
          <w:sz w:val="20"/>
        </w:rPr>
        <w:t xml:space="preserve">: Elaboración propia en base a datos de AFIP, según informes publicados por Alejandro </w:t>
      </w:r>
      <w:proofErr w:type="spellStart"/>
      <w:r w:rsidRPr="00254A39">
        <w:rPr>
          <w:sz w:val="20"/>
        </w:rPr>
        <w:t>Bercovich</w:t>
      </w:r>
      <w:proofErr w:type="spellEnd"/>
      <w:r w:rsidRPr="00254A39">
        <w:rPr>
          <w:sz w:val="20"/>
        </w:rPr>
        <w:t xml:space="preserve"> y </w:t>
      </w:r>
      <w:proofErr w:type="spellStart"/>
      <w:r w:rsidRPr="00254A39">
        <w:rPr>
          <w:sz w:val="20"/>
        </w:rPr>
        <w:t>Capgemini</w:t>
      </w:r>
      <w:proofErr w:type="spellEnd"/>
      <w:r w:rsidRPr="00254A39">
        <w:rPr>
          <w:sz w:val="20"/>
        </w:rPr>
        <w:t>.</w:t>
      </w:r>
    </w:p>
    <w:p w:rsidR="00E003D0" w:rsidRPr="00E003D0" w:rsidRDefault="00E003D0" w:rsidP="00E003D0">
      <w:pPr>
        <w:pStyle w:val="Normal1"/>
        <w:spacing w:after="240"/>
        <w:ind w:left="709"/>
        <w:jc w:val="both"/>
        <w:rPr>
          <w:sz w:val="20"/>
          <w:szCs w:val="20"/>
        </w:rPr>
      </w:pPr>
    </w:p>
    <w:p w:rsidR="005E33E1" w:rsidRDefault="00BC799B" w:rsidP="009B327A">
      <w:pPr>
        <w:pStyle w:val="Normal1"/>
        <w:spacing w:after="240"/>
        <w:jc w:val="both"/>
      </w:pPr>
      <w:r>
        <w:tab/>
        <w:t>Por otro lado, de estos 32 mil, 6.197 superan los 10 millones de dólares</w:t>
      </w:r>
      <w:r w:rsidR="00D03ECC">
        <w:t xml:space="preserve">, y acumulan en conjunto una riqueza </w:t>
      </w:r>
      <w:r w:rsidR="005E33E1">
        <w:t>total de U$S 64.203 millones.</w:t>
      </w:r>
      <w:r w:rsidR="00144D9B">
        <w:t xml:space="preserve"> El 1% de los contribuyentes más ricos (14 mil personas) acumula U$S 83.486 millones lo que implica que en promedio disponen de 5,7 millones de dólares.</w:t>
      </w:r>
    </w:p>
    <w:p w:rsidR="00BC799B" w:rsidRDefault="00D85308">
      <w:pPr>
        <w:pStyle w:val="Normal1"/>
        <w:spacing w:before="240" w:after="240"/>
        <w:jc w:val="both"/>
      </w:pPr>
      <w:r>
        <w:tab/>
      </w:r>
      <w:r w:rsidR="00144D9B">
        <w:t xml:space="preserve">Sin embargo, la información de AFIP </w:t>
      </w:r>
      <w:r w:rsidR="006D0E4B">
        <w:t>confirma</w:t>
      </w:r>
      <w:r w:rsidR="00144D9B">
        <w:t xml:space="preserve"> un comportamiento </w:t>
      </w:r>
      <w:r w:rsidR="0018713F">
        <w:t>estructural y</w:t>
      </w:r>
      <w:r w:rsidR="003405F0">
        <w:t xml:space="preserve"> especulativo </w:t>
      </w:r>
      <w:r w:rsidR="003D7737">
        <w:t>de las principales fi</w:t>
      </w:r>
      <w:r w:rsidR="00144D9B">
        <w:t>rmas y sus dueños vinculada a la</w:t>
      </w:r>
      <w:r w:rsidR="003405F0">
        <w:t xml:space="preserve"> sistemática</w:t>
      </w:r>
      <w:r w:rsidR="00144D9B">
        <w:t xml:space="preserve"> fuga de capitales al exterior mayormente originada como parte de las maniobras de encubrimiento patrimonial</w:t>
      </w:r>
      <w:r w:rsidR="00F13906">
        <w:t xml:space="preserve">. Se verifica </w:t>
      </w:r>
      <w:r w:rsidR="0018713F">
        <w:t>que,</w:t>
      </w:r>
      <w:r w:rsidR="002553F7">
        <w:t xml:space="preserve"> de</w:t>
      </w:r>
      <w:r w:rsidR="00F13906">
        <w:t xml:space="preserve"> los </w:t>
      </w:r>
      <w:r w:rsidR="002553F7">
        <w:t>millones</w:t>
      </w:r>
      <w:r w:rsidR="00F13906">
        <w:t xml:space="preserve"> declarados, el 68,4%</w:t>
      </w:r>
      <w:r w:rsidR="00AA644A">
        <w:t xml:space="preserve"> está en el exterior (71.479 millones de d</w:t>
      </w:r>
      <w:r w:rsidR="006D0E4B">
        <w:t xml:space="preserve">ólares en cuentas en el exterior) que se acrecienta y asciende al 78,5% al considerar al grupo selecto de los ultra millonarios que superan los 10 millones de dólares (en total fugaron </w:t>
      </w:r>
      <w:r w:rsidR="002A784A">
        <w:t>50.377 millones).</w:t>
      </w:r>
    </w:p>
    <w:p w:rsidR="008A20A1" w:rsidRPr="005A7832" w:rsidRDefault="002A6C92" w:rsidP="002A6C92">
      <w:pPr>
        <w:pStyle w:val="Normal1"/>
        <w:spacing w:before="240" w:after="240"/>
        <w:jc w:val="both"/>
      </w:pPr>
      <w:r>
        <w:tab/>
      </w:r>
      <w:r w:rsidRPr="005A7832">
        <w:t>Lo que conviene destacar es que en todo caso las dudas están puestas en la dimensión que adquiere la evasión y el encubrimiento de los patrimonios. El hecho de que las manifestaciones de riqueza exceden largamente el alcance de la entidad fiscal nacional es conocido y más aún luego de haberse conocido los resultados del acuerdo de intercambio de información tributaria entre AFIP y países miembros de la OCDE</w:t>
      </w:r>
      <w:r w:rsidR="000C6379" w:rsidRPr="005A7832">
        <w:rPr>
          <w:rStyle w:val="Refdenotaalpie"/>
        </w:rPr>
        <w:footnoteReference w:id="10"/>
      </w:r>
      <w:r w:rsidRPr="005A7832">
        <w:t xml:space="preserve">. </w:t>
      </w:r>
      <w:r w:rsidR="00201D53" w:rsidRPr="005A7832">
        <w:t>Se trata de un primer intercambio de información con 51 países</w:t>
      </w:r>
      <w:r w:rsidR="00B92506" w:rsidRPr="005A7832">
        <w:t xml:space="preserve">, sólo una parte del acuerdo global que pretendía llegar a 100, por lo que en principio quedarían afuera </w:t>
      </w:r>
      <w:r w:rsidR="008B6286" w:rsidRPr="005A7832">
        <w:t>un</w:t>
      </w:r>
      <w:r w:rsidR="000B5A57" w:rsidRPr="005A7832">
        <w:t>a</w:t>
      </w:r>
      <w:r w:rsidR="008B6286" w:rsidRPr="005A7832">
        <w:t xml:space="preserve"> cantidad importante de paraísos fiscales como</w:t>
      </w:r>
      <w:r w:rsidR="000B5A57" w:rsidRPr="005A7832">
        <w:t xml:space="preserve"> Suiza, Singapur, Japón, Panamá, Uruguay, entre otros. </w:t>
      </w:r>
    </w:p>
    <w:p w:rsidR="00621C63" w:rsidRPr="005A7832" w:rsidRDefault="002A6C92" w:rsidP="002A6C92">
      <w:pPr>
        <w:pStyle w:val="Normal1"/>
        <w:spacing w:before="240" w:after="240"/>
        <w:jc w:val="both"/>
      </w:pPr>
      <w:r w:rsidRPr="005A7832">
        <w:t xml:space="preserve">Según el contenido de este, también informado por el periodista </w:t>
      </w:r>
      <w:proofErr w:type="spellStart"/>
      <w:r w:rsidRPr="005A7832">
        <w:t>Bercovic</w:t>
      </w:r>
      <w:r w:rsidR="00B24C84">
        <w:t>h</w:t>
      </w:r>
      <w:proofErr w:type="spellEnd"/>
      <w:r w:rsidR="00B24C84">
        <w:t>, existe en el grupo selecto</w:t>
      </w:r>
      <w:r w:rsidRPr="005A7832">
        <w:t xml:space="preserve"> nacional un total de 950 cuentas bancarias no declaradas o </w:t>
      </w:r>
      <w:proofErr w:type="spellStart"/>
      <w:r w:rsidRPr="005A7832">
        <w:t>subdeclaradas</w:t>
      </w:r>
      <w:proofErr w:type="spellEnd"/>
      <w:r w:rsidRPr="005A7832">
        <w:t xml:space="preserve"> en el mejor de los casos en la AFIP, que totalizan una evasión equivalente a U$S 2.600 millones.  Nivel de evasión</w:t>
      </w:r>
      <w:r w:rsidR="00621C63" w:rsidRPr="005A7832">
        <w:t xml:space="preserve"> que pareciera ser</w:t>
      </w:r>
      <w:r w:rsidRPr="005A7832">
        <w:t xml:space="preserve"> ínfimo, del 2,5%, </w:t>
      </w:r>
      <w:r w:rsidR="00621C63" w:rsidRPr="005A7832">
        <w:t>aunque debe considerarse</w:t>
      </w:r>
      <w:r w:rsidRPr="005A7832">
        <w:t xml:space="preserve"> que en el intercambio de información realizado no fueron incorporadas el conjunto de cuentas y activos externos radicados en latitudes del </w:t>
      </w:r>
      <w:r w:rsidR="00E92175">
        <w:t>mundo conocidas</w:t>
      </w:r>
      <w:r w:rsidRPr="005A7832">
        <w:t xml:space="preserve"> como </w:t>
      </w:r>
      <w:r w:rsidR="00E92175">
        <w:t xml:space="preserve">paraísos o </w:t>
      </w:r>
      <w:r w:rsidR="00333559" w:rsidRPr="005A7832">
        <w:t>guaridas</w:t>
      </w:r>
      <w:r w:rsidRPr="005A7832">
        <w:t xml:space="preserve"> fiscales.</w:t>
      </w:r>
      <w:r w:rsidR="00621C63" w:rsidRPr="005A7832">
        <w:t xml:space="preserve"> </w:t>
      </w:r>
    </w:p>
    <w:p w:rsidR="00621C63" w:rsidRPr="005A7832" w:rsidRDefault="00621C63" w:rsidP="002A6C92">
      <w:pPr>
        <w:pStyle w:val="Normal1"/>
        <w:spacing w:before="240" w:after="240"/>
        <w:jc w:val="both"/>
      </w:pPr>
      <w:r w:rsidRPr="005A7832">
        <w:t>Lo llamativo del caso es que incluso en el marco del favorable blanqueo que hizo Macri se detectaron fortunas que no se declararon. Por otra parte, esta información en manos de la AFIP a cargo del gobierno anterior nunca fue utilizada a favor del estado argentino ni continuada para hacer uso de las posibilidades que les brindaba los acuerdos suscriptos para extender el universo de países alcanzados por la fiscalización financiera. El acuerdo inicial era cubrir 100 países, pero el trabajo quedó a mitad de camino</w:t>
      </w:r>
      <w:r w:rsidR="00664154" w:rsidRPr="005A7832">
        <w:t>.</w:t>
      </w:r>
    </w:p>
    <w:p w:rsidR="008A20A1" w:rsidRDefault="00664154" w:rsidP="00C21306">
      <w:pPr>
        <w:jc w:val="both"/>
      </w:pPr>
      <w:r w:rsidRPr="005A7832">
        <w:t xml:space="preserve">Además de las consultoras especializadas </w:t>
      </w:r>
      <w:r w:rsidR="00015730" w:rsidRPr="005A7832">
        <w:t>que relevan riqueza, también colabora en la aprehensión del tema el sistema de estadísticas públicas. L</w:t>
      </w:r>
      <w:r w:rsidR="00574894" w:rsidRPr="005A7832">
        <w:t>as cuentas internacionales del INDEC informan que al primer trimestre 2019 el sector privado no financiero acumula un total de U$S</w:t>
      </w:r>
      <w:r w:rsidR="002E50C3" w:rsidRPr="005A7832">
        <w:t xml:space="preserve"> </w:t>
      </w:r>
      <w:r w:rsidR="00574894" w:rsidRPr="005A7832">
        <w:t>3</w:t>
      </w:r>
      <w:r w:rsidR="00145D0F" w:rsidRPr="005A7832">
        <w:t xml:space="preserve">55.377 </w:t>
      </w:r>
      <w:r w:rsidR="00574894" w:rsidRPr="005A7832">
        <w:t xml:space="preserve">millones en el exterior, cifra que supera holgadamente </w:t>
      </w:r>
      <w:r w:rsidR="00140E7A" w:rsidRPr="005A7832">
        <w:t>el monto declarado por los 32 mil grandes contribuyentes</w:t>
      </w:r>
      <w:r w:rsidR="00574894" w:rsidRPr="005A7832">
        <w:t xml:space="preserve"> fuera de las fronteras nacional </w:t>
      </w:r>
      <w:r w:rsidR="00140E7A" w:rsidRPr="005A7832">
        <w:t>al</w:t>
      </w:r>
      <w:r w:rsidR="00574894" w:rsidRPr="005A7832">
        <w:t xml:space="preserve"> ente recaudador</w:t>
      </w:r>
      <w:r w:rsidR="00216F65" w:rsidRPr="005A7832">
        <w:t xml:space="preserve"> de 71,5 mil millones de dólares</w:t>
      </w:r>
      <w:r w:rsidR="00574894" w:rsidRPr="005A7832">
        <w:t>.</w:t>
      </w:r>
      <w:r w:rsidR="00216F65" w:rsidRPr="005A7832">
        <w:t xml:space="preserve"> </w:t>
      </w:r>
      <w:r w:rsidR="00341EBE" w:rsidRPr="005A7832">
        <w:t xml:space="preserve">En definitiva, tomando estos valores de referencia nos aproximaríamos a un volumen no declarado de riqueza </w:t>
      </w:r>
      <w:r w:rsidR="00140E7A" w:rsidRPr="005A7832">
        <w:t>cercano a los</w:t>
      </w:r>
      <w:r w:rsidR="00341EBE" w:rsidRPr="005A7832">
        <w:t xml:space="preserve"> U$S 280.000 millones</w:t>
      </w:r>
      <w:r w:rsidR="0038418E" w:rsidRPr="005A7832">
        <w:t>, sobre el cual el acuerdo con la OCDE pudo revelar apenas el 1%.</w:t>
      </w:r>
      <w:r w:rsidR="0038418E">
        <w:t xml:space="preserve"> </w:t>
      </w:r>
    </w:p>
    <w:p w:rsidR="00E22FCE" w:rsidRDefault="00E22FCE" w:rsidP="00C21306">
      <w:pPr>
        <w:jc w:val="both"/>
      </w:pPr>
    </w:p>
    <w:p w:rsidR="008A20A1" w:rsidRDefault="008A20A1" w:rsidP="00C21306">
      <w:pPr>
        <w:jc w:val="both"/>
        <w:rPr>
          <w:rFonts w:ascii="Calibri" w:eastAsia="Times New Roman" w:hAnsi="Calibri" w:cs="Calibri"/>
          <w:color w:val="000000"/>
          <w:sz w:val="22"/>
          <w:szCs w:val="22"/>
          <w:lang w:val="es-AR" w:eastAsia="es-ES_tradnl"/>
        </w:rPr>
      </w:pPr>
    </w:p>
    <w:p w:rsidR="005813CC" w:rsidRDefault="005813CC">
      <w:pPr>
        <w:pStyle w:val="Normal1"/>
        <w:spacing w:before="240" w:after="240"/>
        <w:jc w:val="both"/>
        <w:rPr>
          <w:b/>
        </w:rPr>
      </w:pPr>
      <w:r>
        <w:rPr>
          <w:b/>
        </w:rPr>
        <w:t>4</w:t>
      </w:r>
      <w:r w:rsidR="00173186">
        <w:rPr>
          <w:b/>
        </w:rPr>
        <w:t xml:space="preserve">. Mejorar la capacidad </w:t>
      </w:r>
      <w:r w:rsidR="00351D3A" w:rsidRPr="00385A63">
        <w:rPr>
          <w:b/>
        </w:rPr>
        <w:t xml:space="preserve">fiscal </w:t>
      </w:r>
      <w:r w:rsidR="00385A63" w:rsidRPr="00385A63">
        <w:rPr>
          <w:b/>
        </w:rPr>
        <w:t>para</w:t>
      </w:r>
      <w:r w:rsidR="00351D3A" w:rsidRPr="00385A63">
        <w:rPr>
          <w:b/>
        </w:rPr>
        <w:t xml:space="preserve"> capturar </w:t>
      </w:r>
      <w:r w:rsidR="00E56668">
        <w:rPr>
          <w:b/>
        </w:rPr>
        <w:t>fortunas</w:t>
      </w:r>
    </w:p>
    <w:p w:rsidR="000302ED" w:rsidRDefault="00C959CF">
      <w:pPr>
        <w:pStyle w:val="Normal1"/>
        <w:spacing w:before="240" w:after="240"/>
        <w:jc w:val="both"/>
      </w:pPr>
      <w:r>
        <w:tab/>
      </w:r>
      <w:r w:rsidR="00333E57" w:rsidRPr="00333E57">
        <w:t xml:space="preserve">El carácter </w:t>
      </w:r>
      <w:proofErr w:type="spellStart"/>
      <w:r w:rsidR="00333E57" w:rsidRPr="00333E57">
        <w:t>procíclico</w:t>
      </w:r>
      <w:proofErr w:type="spellEnd"/>
      <w:r w:rsidR="00333E57" w:rsidRPr="00333E57">
        <w:t xml:space="preserve"> </w:t>
      </w:r>
      <w:r w:rsidR="00173186" w:rsidRPr="00333E57">
        <w:t>del esquema</w:t>
      </w:r>
      <w:r w:rsidR="00173186">
        <w:t xml:space="preserve"> tributario es un tema de particular interés en esta </w:t>
      </w:r>
      <w:r w:rsidR="00C26E22">
        <w:t>coyuntura</w:t>
      </w:r>
      <w:r w:rsidR="00173186">
        <w:t xml:space="preserve">. Conforme el Estado cumpla en ampliar su cobertura garantizando derechos y los recursos fiscales </w:t>
      </w:r>
      <w:r w:rsidR="00B411AF" w:rsidRPr="00B411AF">
        <w:t>caigan a la par del desplome de la actividad</w:t>
      </w:r>
      <w:r w:rsidR="00B411AF">
        <w:t xml:space="preserve"> </w:t>
      </w:r>
      <w:r w:rsidR="00173186">
        <w:t>económica, las necesidades de financiamiento se acentuarán empujand</w:t>
      </w:r>
      <w:r w:rsidR="00C26E22">
        <w:t xml:space="preserve">o, en el mejor de los casos, </w:t>
      </w:r>
      <w:r w:rsidR="00173186">
        <w:t xml:space="preserve">las barreras de lo políticamente aceptable. </w:t>
      </w:r>
    </w:p>
    <w:p w:rsidR="00981CEB" w:rsidRDefault="000302ED">
      <w:pPr>
        <w:pStyle w:val="Normal1"/>
        <w:spacing w:before="240" w:after="240"/>
        <w:jc w:val="both"/>
      </w:pPr>
      <w:r>
        <w:tab/>
        <w:t xml:space="preserve">En un mundo que atraviesa una de las crisis más profundas, que ve obturada en el corto plazo las posibilidades de recuperación económica, sin financiamiento externo, la única respuesta posible deberá provenir de sistemas fiscales más robustos y temporalmente sostenibles. Sería interesante aprovechar la fuerte demanda sobre los bienes públicos para justificar un avance más potente en la escala de alícuotas con que se gravan las ganancias más altas de empresas y personas, de la </w:t>
      </w:r>
      <w:r w:rsidR="00DC74DF">
        <w:t xml:space="preserve">misma </w:t>
      </w:r>
      <w:r>
        <w:t>forma en que proceden otros países</w:t>
      </w:r>
      <w:r w:rsidR="00DC74DF">
        <w:t>.</w:t>
      </w:r>
    </w:p>
    <w:p w:rsidR="00405F27" w:rsidRDefault="00C959CF" w:rsidP="00F35D91">
      <w:pPr>
        <w:pStyle w:val="Normal1"/>
        <w:spacing w:before="240" w:after="240"/>
        <w:jc w:val="both"/>
      </w:pPr>
      <w:r>
        <w:tab/>
      </w:r>
      <w:r w:rsidR="00173186">
        <w:t>El financiamiento de los paquetes fiscales de contención de la emergencia sanitaria, económica y social consecuentes con la gestión de la pandemia, está reviviendo en todo el mundo viejas discusiones vinculadas a cómo mejorar la progresividad y equidad de los sistemas tributarios, alcanzando más potentemente los ingresos y las fortunas de los más ricos. Resulta lógico buscar más y mejores recursos, gravando el consumo de lujo, la propiedad y los ingresos de las personas con más alta capacidad contributiva.</w:t>
      </w:r>
    </w:p>
    <w:p w:rsidR="0023700E" w:rsidRDefault="005813CC" w:rsidP="00F35D91">
      <w:pPr>
        <w:shd w:val="clear" w:color="auto" w:fill="FFFFFF"/>
        <w:ind w:firstLine="708"/>
        <w:jc w:val="both"/>
      </w:pPr>
      <w:r>
        <w:t>El</w:t>
      </w:r>
      <w:r w:rsidR="00DF4435" w:rsidRPr="00E94DA4">
        <w:t xml:space="preserve"> problema que tenemos para un impuesto que grave las rentas y los patrimonios más importantes es la baja declaración de estos conceptos por parte </w:t>
      </w:r>
      <w:r w:rsidR="00737F34">
        <w:t xml:space="preserve"> de </w:t>
      </w:r>
      <w:r w:rsidR="00DF4435" w:rsidRPr="00E94DA4">
        <w:t>los ricos y sus empresas. Esta es la principal causa que atenta contra la capacidad recaudatoria de los impuestos progresivos (o directos) que hasta el momento el estado intenta compensar ampliando la base imponible de los mismos a los estratos medios de la población</w:t>
      </w:r>
      <w:r w:rsidR="00DF4435">
        <w:t xml:space="preserve">. </w:t>
      </w:r>
      <w:r w:rsidR="00DF4435" w:rsidRPr="00E94DA4">
        <w:t>El problema de fondo es que el aparato fiscal del estado  no está diseñado para que aporten los que detentan el poder económico. Eso es lo que precisa ser revertido.</w:t>
      </w:r>
    </w:p>
    <w:p w:rsidR="00F35D91" w:rsidRDefault="00F35D91" w:rsidP="00F35D91">
      <w:pPr>
        <w:shd w:val="clear" w:color="auto" w:fill="FFFFFF"/>
        <w:ind w:firstLine="708"/>
        <w:jc w:val="both"/>
      </w:pPr>
    </w:p>
    <w:p w:rsidR="00137C6E" w:rsidRDefault="004D5A81" w:rsidP="003A63DA">
      <w:pPr>
        <w:shd w:val="clear" w:color="auto" w:fill="FFFFFF"/>
        <w:ind w:firstLine="708"/>
        <w:jc w:val="both"/>
      </w:pPr>
      <w:r>
        <w:t xml:space="preserve">Por lo tanto, las circunstancias actuales ameritan llevar adelante, por única vez, un </w:t>
      </w:r>
      <w:r w:rsidRPr="00DF4435">
        <w:rPr>
          <w:b/>
          <w:i/>
        </w:rPr>
        <w:t>procedimiento extraordinario</w:t>
      </w:r>
      <w:r>
        <w:t xml:space="preserve"> </w:t>
      </w:r>
      <w:r w:rsidRPr="00DF4435">
        <w:rPr>
          <w:b/>
          <w:i/>
        </w:rPr>
        <w:t>que permita la captura pública de rentas y patrimonio</w:t>
      </w:r>
      <w:r>
        <w:t xml:space="preserve"> de quienes integran el poder económico local sobre la base del criterio de Patrimonio</w:t>
      </w:r>
      <w:r w:rsidR="005F1808">
        <w:t xml:space="preserve"> y Renta</w:t>
      </w:r>
      <w:r>
        <w:t xml:space="preserve"> Presunt</w:t>
      </w:r>
      <w:r w:rsidR="005F1808">
        <w:t>a</w:t>
      </w:r>
      <w:r>
        <w:t xml:space="preserve">, en el marco de una estrategia general que a partir de aquí permita </w:t>
      </w:r>
      <w:r w:rsidRPr="00DF4435">
        <w:rPr>
          <w:b/>
          <w:i/>
        </w:rPr>
        <w:t xml:space="preserve">terminar con la </w:t>
      </w:r>
      <w:r w:rsidRPr="00E94DA4">
        <w:rPr>
          <w:b/>
          <w:i/>
        </w:rPr>
        <w:t>planificación fiscal nociva y delictiva</w:t>
      </w:r>
      <w:r w:rsidRPr="00DF4435">
        <w:rPr>
          <w:b/>
          <w:i/>
        </w:rPr>
        <w:t xml:space="preserve"> de las principales empresas y sus dueños</w:t>
      </w:r>
      <w:r w:rsidR="00DF4435">
        <w:rPr>
          <w:b/>
          <w:i/>
        </w:rPr>
        <w:t xml:space="preserve"> </w:t>
      </w:r>
      <w:r w:rsidR="00DF4435" w:rsidRPr="00DF4435">
        <w:t xml:space="preserve">que erosiona sistemáticamente la base imponible </w:t>
      </w:r>
      <w:r w:rsidR="00DF4435" w:rsidRPr="00E94DA4">
        <w:t>sobre la cual se calculan los impuestos sobre rentas y patrimonio</w:t>
      </w:r>
      <w:r>
        <w:t xml:space="preserve">. </w:t>
      </w:r>
      <w:r w:rsidR="00137C6E">
        <w:t>El saldo final de</w:t>
      </w:r>
      <w:r w:rsidR="007D3BF8">
        <w:t xml:space="preserve"> este</w:t>
      </w:r>
      <w:r w:rsidR="00137C6E">
        <w:t xml:space="preserve"> proceso de reformas debería dotar al estado de instrumentos de regulación</w:t>
      </w:r>
      <w:r w:rsidR="005F1808">
        <w:t xml:space="preserve"> pública</w:t>
      </w:r>
      <w:r w:rsidR="00137C6E">
        <w:t xml:space="preserve"> que le permita </w:t>
      </w:r>
      <w:r w:rsidR="00137C6E" w:rsidRPr="00E94DA4">
        <w:t>obligar a las principales empresas y fortunas a blanquear sus estructuras y tenencias societarias.</w:t>
      </w:r>
    </w:p>
    <w:p w:rsidR="00137C6E" w:rsidRDefault="00137C6E" w:rsidP="003A63DA">
      <w:pPr>
        <w:shd w:val="clear" w:color="auto" w:fill="FFFFFF"/>
        <w:ind w:firstLine="708"/>
        <w:jc w:val="both"/>
      </w:pPr>
    </w:p>
    <w:p w:rsidR="00137C6E" w:rsidRDefault="00137C6E" w:rsidP="003A63DA">
      <w:pPr>
        <w:shd w:val="clear" w:color="auto" w:fill="FFFFFF"/>
        <w:ind w:firstLine="708"/>
        <w:jc w:val="both"/>
      </w:pPr>
      <w:r w:rsidRPr="00E94DA4">
        <w:t>E</w:t>
      </w:r>
      <w:r w:rsidR="00F377B3">
        <w:t>ste</w:t>
      </w:r>
      <w:r w:rsidR="00E92175">
        <w:t xml:space="preserve"> procedimiento</w:t>
      </w:r>
      <w:r w:rsidRPr="00E94DA4">
        <w:t xml:space="preserve"> requiere </w:t>
      </w:r>
      <w:r w:rsidR="00CB5C00">
        <w:t xml:space="preserve">al menos de </w:t>
      </w:r>
      <w:r w:rsidR="007D4EC4">
        <w:t>las</w:t>
      </w:r>
      <w:r>
        <w:t xml:space="preserve"> </w:t>
      </w:r>
      <w:r w:rsidR="007D4EC4">
        <w:t xml:space="preserve">siguientes </w:t>
      </w:r>
      <w:r>
        <w:t>dimensiones de trabajo:</w:t>
      </w:r>
    </w:p>
    <w:p w:rsidR="00137C6E" w:rsidRDefault="00137C6E" w:rsidP="003A63DA">
      <w:pPr>
        <w:shd w:val="clear" w:color="auto" w:fill="FFFFFF"/>
        <w:ind w:firstLine="708"/>
        <w:jc w:val="both"/>
      </w:pPr>
    </w:p>
    <w:p w:rsidR="00E94DA4" w:rsidRPr="005A7832" w:rsidRDefault="00137C6E" w:rsidP="00137C6E">
      <w:pPr>
        <w:pStyle w:val="Prrafodelista"/>
        <w:numPr>
          <w:ilvl w:val="0"/>
          <w:numId w:val="3"/>
        </w:numPr>
        <w:shd w:val="clear" w:color="auto" w:fill="FFFFFF"/>
        <w:jc w:val="both"/>
      </w:pPr>
      <w:r>
        <w:t>En primer lugar, cr</w:t>
      </w:r>
      <w:r w:rsidR="00E94DA4" w:rsidRPr="00E94DA4">
        <w:t xml:space="preserve">uzar la información declarada en AFIP con fuentes internacionales como los marcos de cooperación </w:t>
      </w:r>
      <w:r w:rsidR="00DB618E">
        <w:t xml:space="preserve">internacional </w:t>
      </w:r>
      <w:r w:rsidR="00E94DA4" w:rsidRPr="00E94DA4">
        <w:t xml:space="preserve">tributaria e </w:t>
      </w:r>
      <w:r w:rsidR="00E94DA4" w:rsidRPr="005A7832">
        <w:t xml:space="preserve">incluso las declaraciones juradas realizadas en revistas especializadas como  Forbes o </w:t>
      </w:r>
      <w:proofErr w:type="spellStart"/>
      <w:r w:rsidR="00E94DA4" w:rsidRPr="005A7832">
        <w:t>Whales</w:t>
      </w:r>
      <w:proofErr w:type="spellEnd"/>
      <w:r w:rsidR="00E94DA4" w:rsidRPr="005A7832">
        <w:t xml:space="preserve">. El objetivo principal </w:t>
      </w:r>
      <w:r w:rsidR="00DB618E" w:rsidRPr="005A7832">
        <w:t>sería</w:t>
      </w:r>
      <w:r w:rsidR="00E94DA4" w:rsidRPr="005A7832">
        <w:t xml:space="preserve"> básicamente revelar </w:t>
      </w:r>
      <w:r w:rsidR="00DB618E" w:rsidRPr="005A7832">
        <w:t xml:space="preserve">la existencia de </w:t>
      </w:r>
      <w:r w:rsidR="00E94DA4" w:rsidRPr="005A7832">
        <w:t>maniobras de encubri</w:t>
      </w:r>
      <w:r w:rsidR="00DB618E" w:rsidRPr="005A7832">
        <w:t xml:space="preserve">miento patrimonial. Es decir, detectar diferencias patrimoniales entre lo declarado en AFIP y lo que se deriva de otras fuentes. </w:t>
      </w:r>
    </w:p>
    <w:p w:rsidR="00DB618E" w:rsidRPr="005A7832" w:rsidRDefault="00DB618E" w:rsidP="00DB618E">
      <w:pPr>
        <w:pStyle w:val="Prrafodelista"/>
        <w:shd w:val="clear" w:color="auto" w:fill="FFFFFF"/>
        <w:ind w:left="1068"/>
        <w:jc w:val="both"/>
      </w:pPr>
    </w:p>
    <w:p w:rsidR="00D76CBF" w:rsidRPr="005A7832" w:rsidRDefault="00DB618E" w:rsidP="00137C6E">
      <w:pPr>
        <w:pStyle w:val="Prrafodelista"/>
        <w:numPr>
          <w:ilvl w:val="0"/>
          <w:numId w:val="3"/>
        </w:numPr>
        <w:shd w:val="clear" w:color="auto" w:fill="FFFFFF"/>
        <w:jc w:val="both"/>
      </w:pPr>
      <w:r w:rsidRPr="005A7832">
        <w:t xml:space="preserve">Lo anterior requiere de la clasificación (o re-clasificación) de </w:t>
      </w:r>
      <w:r w:rsidR="005850B7" w:rsidRPr="005A7832">
        <w:t xml:space="preserve">los </w:t>
      </w:r>
      <w:r w:rsidRPr="005A7832">
        <w:t>grandes</w:t>
      </w:r>
      <w:r w:rsidR="003B1EAA" w:rsidRPr="005A7832">
        <w:t xml:space="preserve"> contribuyentes que superen el millón</w:t>
      </w:r>
      <w:r w:rsidR="005850B7" w:rsidRPr="005A7832">
        <w:t xml:space="preserve"> de</w:t>
      </w:r>
      <w:r w:rsidR="003B1EAA" w:rsidRPr="005A7832">
        <w:t xml:space="preserve"> d</w:t>
      </w:r>
      <w:r w:rsidR="005850B7" w:rsidRPr="005A7832">
        <w:t xml:space="preserve">ólares que incluso </w:t>
      </w:r>
      <w:r w:rsidR="00B0369A" w:rsidRPr="005A7832">
        <w:t xml:space="preserve">serviría de base para poder establecer </w:t>
      </w:r>
      <w:r w:rsidR="005850B7" w:rsidRPr="005A7832">
        <w:t xml:space="preserve">un </w:t>
      </w:r>
      <w:r w:rsidR="00DA3455" w:rsidRPr="005A7832">
        <w:t xml:space="preserve">nuevo </w:t>
      </w:r>
      <w:r w:rsidR="005850B7" w:rsidRPr="005A7832">
        <w:t xml:space="preserve">esquema </w:t>
      </w:r>
      <w:r w:rsidR="001A049D" w:rsidRPr="005A7832">
        <w:t>escalonado de</w:t>
      </w:r>
      <w:r w:rsidR="005850B7" w:rsidRPr="005A7832">
        <w:t xml:space="preserve"> alícuotas</w:t>
      </w:r>
      <w:r w:rsidR="00850B7C" w:rsidRPr="005A7832">
        <w:t xml:space="preserve"> que supere el techo vi</w:t>
      </w:r>
      <w:r w:rsidR="00DA3455" w:rsidRPr="005A7832">
        <w:t>gente</w:t>
      </w:r>
      <w:r w:rsidR="0007096A" w:rsidRPr="005A7832">
        <w:t xml:space="preserve"> del 1,25%</w:t>
      </w:r>
      <w:r w:rsidR="00E374D9" w:rsidRPr="005A7832">
        <w:t>.</w:t>
      </w:r>
      <w:r w:rsidR="000D6600" w:rsidRPr="005A7832">
        <w:t xml:space="preserve"> Entre los aspectos </w:t>
      </w:r>
      <w:r w:rsidR="006571C7" w:rsidRPr="005A7832">
        <w:t>básicos que requieren pronta modificación está la necesidad de reponer el mínimo exento en lugar del mínimo no imponible de manera de gravar sobre la totalidad del patrimonio y no los diferenciales.</w:t>
      </w:r>
      <w:r w:rsidR="00D76CBF" w:rsidRPr="005A7832">
        <w:t xml:space="preserve"> Incluso revisar el monto no exento</w:t>
      </w:r>
      <w:r w:rsidR="00EC3AA3" w:rsidRPr="005A7832">
        <w:t xml:space="preserve"> (hoy el MNI es de $ 2 millones)</w:t>
      </w:r>
      <w:r w:rsidR="00D76CBF" w:rsidRPr="005A7832">
        <w:t xml:space="preserve"> de manera de no alcanzar a los estratos medios </w:t>
      </w:r>
      <w:r w:rsidR="00EC3AA3" w:rsidRPr="005A7832">
        <w:t>y compensar con una carga impositiva mayor a las tenencias más importantes.</w:t>
      </w:r>
      <w:r w:rsidR="006571C7" w:rsidRPr="005A7832">
        <w:t xml:space="preserve"> A su vez, habría que hacer efectiva la aplicación de </w:t>
      </w:r>
      <w:proofErr w:type="spellStart"/>
      <w:r w:rsidR="0065618A" w:rsidRPr="005A7832">
        <w:t>sobre</w:t>
      </w:r>
      <w:r w:rsidR="006571C7" w:rsidRPr="005A7832">
        <w:t>alícuotas</w:t>
      </w:r>
      <w:proofErr w:type="spellEnd"/>
      <w:r w:rsidR="006571C7" w:rsidRPr="005A7832">
        <w:t xml:space="preserve"> para las</w:t>
      </w:r>
      <w:r w:rsidR="0065618A" w:rsidRPr="005A7832">
        <w:t xml:space="preserve"> tenencias</w:t>
      </w:r>
      <w:r w:rsidR="00B56FFC" w:rsidRPr="005A7832">
        <w:t xml:space="preserve"> </w:t>
      </w:r>
      <w:r w:rsidR="006571C7" w:rsidRPr="005A7832">
        <w:t>en el</w:t>
      </w:r>
      <w:r w:rsidR="00B56FFC" w:rsidRPr="005A7832">
        <w:t xml:space="preserve"> exterior</w:t>
      </w:r>
      <w:r w:rsidR="00E374D9" w:rsidRPr="005A7832">
        <w:rPr>
          <w:rStyle w:val="Refdenotaalpie"/>
        </w:rPr>
        <w:footnoteReference w:id="11"/>
      </w:r>
      <w:r w:rsidR="00997456" w:rsidRPr="005A7832">
        <w:t xml:space="preserve"> </w:t>
      </w:r>
      <w:r w:rsidR="0007096A" w:rsidRPr="005A7832">
        <w:t>así como también revisar el conjunto de exenciones que permita captar manifestaciones de riquezas locales como depósitos en el sistema financiero local o títulos públicos</w:t>
      </w:r>
      <w:r w:rsidR="00D76CBF" w:rsidRPr="005A7832">
        <w:t>.</w:t>
      </w:r>
    </w:p>
    <w:p w:rsidR="00D76CBF" w:rsidRPr="005A7832" w:rsidRDefault="00D76CBF" w:rsidP="00D76CBF">
      <w:pPr>
        <w:pStyle w:val="Prrafodelista"/>
      </w:pPr>
    </w:p>
    <w:p w:rsidR="00696D7B" w:rsidRPr="005A7832" w:rsidRDefault="003D4124" w:rsidP="00D76CBF">
      <w:pPr>
        <w:pStyle w:val="Prrafodelista"/>
        <w:shd w:val="clear" w:color="auto" w:fill="FFFFFF"/>
        <w:ind w:left="1068"/>
        <w:jc w:val="both"/>
        <w:rPr>
          <w:i/>
          <w:iCs/>
          <w:sz w:val="20"/>
          <w:szCs w:val="20"/>
        </w:rPr>
      </w:pPr>
      <w:r w:rsidRPr="005A7832">
        <w:rPr>
          <w:i/>
          <w:iCs/>
          <w:sz w:val="20"/>
          <w:szCs w:val="20"/>
        </w:rPr>
        <w:t>Proponemos agregar a</w:t>
      </w:r>
      <w:r w:rsidR="00D76CBF" w:rsidRPr="005A7832">
        <w:rPr>
          <w:i/>
          <w:iCs/>
          <w:sz w:val="20"/>
          <w:szCs w:val="20"/>
        </w:rPr>
        <w:t xml:space="preserve"> la grilla de alícuotas escalonada en pesos que actualmente ubica en el 1,25% el valor más alto</w:t>
      </w:r>
      <w:r w:rsidR="00EC3AA3" w:rsidRPr="005A7832">
        <w:rPr>
          <w:i/>
          <w:iCs/>
          <w:sz w:val="20"/>
          <w:szCs w:val="20"/>
        </w:rPr>
        <w:t xml:space="preserve"> un nuevo esquema a los Patrimonios Altos que podría consistir en lo siguiente:</w:t>
      </w:r>
      <w:r w:rsidR="00D76CBF" w:rsidRPr="005A7832">
        <w:rPr>
          <w:i/>
          <w:iCs/>
          <w:sz w:val="20"/>
          <w:szCs w:val="20"/>
        </w:rPr>
        <w:t xml:space="preserve"> </w:t>
      </w:r>
    </w:p>
    <w:p w:rsidR="00254A39" w:rsidRDefault="00254A39" w:rsidP="00254A39">
      <w:pPr>
        <w:ind w:left="708"/>
        <w:jc w:val="both"/>
        <w:rPr>
          <w:i/>
        </w:rPr>
      </w:pPr>
    </w:p>
    <w:p w:rsidR="007D4EC4" w:rsidRDefault="007D4EC4" w:rsidP="007D4EC4">
      <w:pPr>
        <w:pStyle w:val="Prrafodelista"/>
        <w:shd w:val="clear" w:color="auto" w:fill="FFFFFF"/>
        <w:ind w:left="1068"/>
        <w:jc w:val="both"/>
        <w:rPr>
          <w:sz w:val="20"/>
          <w:szCs w:val="20"/>
        </w:rPr>
      </w:pPr>
      <w:r>
        <w:rPr>
          <w:b/>
          <w:sz w:val="22"/>
          <w:szCs w:val="22"/>
          <w:u w:val="single"/>
        </w:rPr>
        <w:t xml:space="preserve">Cuadro  Nº </w:t>
      </w:r>
      <w:r w:rsidR="003B2B37">
        <w:rPr>
          <w:b/>
          <w:sz w:val="22"/>
          <w:szCs w:val="22"/>
          <w:u w:val="single"/>
        </w:rPr>
        <w:t>8</w:t>
      </w:r>
      <w:r>
        <w:rPr>
          <w:b/>
          <w:sz w:val="22"/>
          <w:szCs w:val="22"/>
          <w:u w:val="single"/>
        </w:rPr>
        <w:t>: Esquema escalonado de alícuotas a los Patrimonios Altos.</w:t>
      </w:r>
    </w:p>
    <w:p w:rsidR="007D4EC4" w:rsidRDefault="007D4EC4" w:rsidP="00254A39">
      <w:pPr>
        <w:ind w:left="708"/>
        <w:jc w:val="both"/>
        <w:rPr>
          <w:i/>
        </w:rPr>
      </w:pPr>
    </w:p>
    <w:p w:rsidR="00F65133" w:rsidRDefault="00F65133" w:rsidP="00D76CBF">
      <w:pPr>
        <w:ind w:left="708"/>
        <w:jc w:val="center"/>
        <w:rPr>
          <w:i/>
        </w:rPr>
      </w:pPr>
      <w:r w:rsidRPr="00F65133">
        <w:rPr>
          <w:i/>
          <w:noProof/>
          <w:lang w:val="es-AR" w:eastAsia="es-AR"/>
        </w:rPr>
        <w:drawing>
          <wp:inline distT="0" distB="0" distL="0" distR="0">
            <wp:extent cx="3908161" cy="877144"/>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7282" cy="888169"/>
                    </a:xfrm>
                    <a:prstGeom prst="rect">
                      <a:avLst/>
                    </a:prstGeom>
                  </pic:spPr>
                </pic:pic>
              </a:graphicData>
            </a:graphic>
          </wp:inline>
        </w:drawing>
      </w:r>
    </w:p>
    <w:p w:rsidR="00F65133" w:rsidRDefault="00F65133" w:rsidP="00254A39">
      <w:pPr>
        <w:ind w:left="708"/>
        <w:jc w:val="both"/>
        <w:rPr>
          <w:i/>
        </w:rPr>
      </w:pPr>
    </w:p>
    <w:p w:rsidR="00606B92" w:rsidRDefault="00606B92" w:rsidP="00696D7B">
      <w:pPr>
        <w:pStyle w:val="Prrafodelista"/>
      </w:pPr>
    </w:p>
    <w:p w:rsidR="00606B92" w:rsidRDefault="00606B92" w:rsidP="00696D7B">
      <w:pPr>
        <w:pStyle w:val="Prrafodelista"/>
      </w:pPr>
    </w:p>
    <w:p w:rsidR="00DB618E" w:rsidRDefault="00696D7B" w:rsidP="007D4EC4">
      <w:pPr>
        <w:pStyle w:val="Prrafodelista"/>
        <w:numPr>
          <w:ilvl w:val="0"/>
          <w:numId w:val="3"/>
        </w:numPr>
        <w:shd w:val="clear" w:color="auto" w:fill="FFFFFF"/>
        <w:jc w:val="both"/>
      </w:pPr>
      <w:r>
        <w:t xml:space="preserve">En el caso de la verificación de brechas entre los patrimonios </w:t>
      </w:r>
      <w:r w:rsidR="00592127">
        <w:t xml:space="preserve">declarados a nivel local en la AFIP </w:t>
      </w:r>
      <w:r>
        <w:t xml:space="preserve">y </w:t>
      </w:r>
      <w:r w:rsidR="00592127">
        <w:t>lo relevado por la información disponible en fuentes internacionales</w:t>
      </w:r>
      <w:r>
        <w:t>, el pro</w:t>
      </w:r>
      <w:r w:rsidR="00592127">
        <w:t xml:space="preserve">cedimiento siguiente </w:t>
      </w:r>
      <w:proofErr w:type="spellStart"/>
      <w:r w:rsidR="00592127">
        <w:t>ser</w:t>
      </w:r>
      <w:r w:rsidR="00136795">
        <w:t>a</w:t>
      </w:r>
      <w:proofErr w:type="spellEnd"/>
      <w:r>
        <w:t xml:space="preserve"> </w:t>
      </w:r>
      <w:r w:rsidRPr="00E94DA4">
        <w:t>trabajar con el criterio de Patr</w:t>
      </w:r>
      <w:r w:rsidR="00592127">
        <w:t>imonio Presunto,</w:t>
      </w:r>
      <w:r w:rsidRPr="00E94DA4">
        <w:t xml:space="preserve"> a parti</w:t>
      </w:r>
      <w:r w:rsidR="00592127">
        <w:t>r de la información existente sobre</w:t>
      </w:r>
      <w:r w:rsidRPr="00E94DA4">
        <w:t xml:space="preserve"> la facturación de las principales empre</w:t>
      </w:r>
      <w:r w:rsidR="00592127">
        <w:t>sas y</w:t>
      </w:r>
      <w:r w:rsidRPr="00E94DA4">
        <w:t xml:space="preserve"> bancos </w:t>
      </w:r>
      <w:r w:rsidR="00592127">
        <w:t>de la Argentina</w:t>
      </w:r>
      <w:r w:rsidR="00026EA1">
        <w:t>.</w:t>
      </w:r>
      <w:r w:rsidR="007D4EC4">
        <w:t xml:space="preserve"> </w:t>
      </w:r>
      <w:r w:rsidR="00026EA1">
        <w:t>E</w:t>
      </w:r>
      <w:r>
        <w:t>n definitiva,</w:t>
      </w:r>
      <w:r w:rsidR="00026EA1">
        <w:t xml:space="preserve"> </w:t>
      </w:r>
      <w:r w:rsidR="00592127">
        <w:t xml:space="preserve">estamos afirmando que </w:t>
      </w:r>
      <w:r w:rsidR="00026EA1">
        <w:t>las firmas más grandes del país constituyen la principal fuente de apropiación de excedente económico y s</w:t>
      </w:r>
      <w:r>
        <w:t>ost</w:t>
      </w:r>
      <w:r w:rsidR="00026EA1">
        <w:t>én de las fortunas de sus dueños</w:t>
      </w:r>
      <w:r>
        <w:t>.</w:t>
      </w:r>
      <w:r w:rsidR="003D4124">
        <w:t xml:space="preserve"> </w:t>
      </w:r>
      <w:r w:rsidR="00136795">
        <w:t>Por ende, establecer una alícuota sobre dicha facturación es un modo indirecto de acercarnos a aquellos patrimonios que se obtuvieron pero que no se declararon. Con este objetivo verificamos</w:t>
      </w:r>
      <w:r w:rsidR="003D4124">
        <w:t xml:space="preserve"> que 119 empresas de la cúpula </w:t>
      </w:r>
      <w:proofErr w:type="spellStart"/>
      <w:r w:rsidR="003D4124">
        <w:t>empresaria</w:t>
      </w:r>
      <w:proofErr w:type="spellEnd"/>
      <w:r w:rsidR="003D4124">
        <w:t xml:space="preserve"> vieron expandir el volumen de facturación en </w:t>
      </w:r>
      <w:r w:rsidR="003D4124" w:rsidRPr="008C6EA3">
        <w:t xml:space="preserve">un </w:t>
      </w:r>
      <w:r w:rsidR="00D75E75" w:rsidRPr="008C6EA3">
        <w:t>350</w:t>
      </w:r>
      <w:r w:rsidR="003D4124" w:rsidRPr="008C6EA3">
        <w:t>%</w:t>
      </w:r>
      <w:r w:rsidR="003D4124">
        <w:t xml:space="preserve"> entre el 2015 y 2018 mientras </w:t>
      </w:r>
      <w:r w:rsidR="00780265">
        <w:t>el conjunto de bancos más importantes aumentó un 205% solo en el último año.</w:t>
      </w:r>
      <w:r w:rsidR="003D4124">
        <w:t xml:space="preserve"> </w:t>
      </w:r>
      <w:r w:rsidR="00026EA1" w:rsidRPr="00E94DA4">
        <w:t>Sobre la base de la performance que este conjunto de firmas ha tenido durante los últimos años es que puede establecerse una alícuota extraordinaria sobre los niveles de facturación</w:t>
      </w:r>
      <w:r w:rsidR="00592127">
        <w:t xml:space="preserve"> </w:t>
      </w:r>
      <w:r w:rsidR="00136795">
        <w:t xml:space="preserve">obtenidos. </w:t>
      </w:r>
      <w:r w:rsidR="009465FD">
        <w:t>Recaudación</w:t>
      </w:r>
      <w:r w:rsidR="00136795">
        <w:t xml:space="preserve"> esta </w:t>
      </w:r>
      <w:r w:rsidR="00592127">
        <w:t xml:space="preserve">que vendría a compensar la baja declaración </w:t>
      </w:r>
      <w:r w:rsidR="00136795">
        <w:t>que las principales fortunas realizan en el país.</w:t>
      </w:r>
      <w:r w:rsidR="00003A32">
        <w:t xml:space="preserve"> </w:t>
      </w:r>
      <w:proofErr w:type="gramStart"/>
      <w:r w:rsidR="009465FD">
        <w:t>La</w:t>
      </w:r>
      <w:proofErr w:type="gramEnd"/>
      <w:r w:rsidR="00003A32">
        <w:t xml:space="preserve"> </w:t>
      </w:r>
      <w:r w:rsidR="00136795">
        <w:t>alícuota sobre la facturación se establece como penalidad sobre las estrategias de ocultamiento patrimonial y como un aliciente al blanqueo y debido registro de todos sus patrimonios.</w:t>
      </w:r>
    </w:p>
    <w:p w:rsidR="0048013F" w:rsidRDefault="0048013F" w:rsidP="0048013F">
      <w:pPr>
        <w:pStyle w:val="Prrafodelista"/>
        <w:shd w:val="clear" w:color="auto" w:fill="FFFFFF"/>
        <w:ind w:left="1068"/>
        <w:jc w:val="both"/>
      </w:pPr>
    </w:p>
    <w:p w:rsidR="00977F43" w:rsidRDefault="007D4EC4" w:rsidP="00977F43">
      <w:pPr>
        <w:pStyle w:val="Prrafodelista"/>
        <w:shd w:val="clear" w:color="auto" w:fill="FFFFFF"/>
        <w:ind w:left="1068"/>
        <w:jc w:val="both"/>
        <w:rPr>
          <w:i/>
          <w:iCs/>
          <w:sz w:val="20"/>
          <w:szCs w:val="20"/>
        </w:rPr>
      </w:pPr>
      <w:r w:rsidRPr="003D4124">
        <w:rPr>
          <w:i/>
          <w:iCs/>
          <w:sz w:val="20"/>
          <w:szCs w:val="20"/>
        </w:rPr>
        <w:t xml:space="preserve">En el siguiente cuadro se realiza un ejercicio a partir de la información disponible por este Instituto </w:t>
      </w:r>
      <w:r w:rsidR="00757008" w:rsidRPr="003D4124">
        <w:rPr>
          <w:i/>
          <w:iCs/>
          <w:sz w:val="20"/>
          <w:szCs w:val="20"/>
        </w:rPr>
        <w:t xml:space="preserve">con el objetivo de estimar los activos de los individuos que </w:t>
      </w:r>
      <w:r w:rsidR="003D4124" w:rsidRPr="003D4124">
        <w:rPr>
          <w:i/>
          <w:iCs/>
          <w:sz w:val="20"/>
          <w:szCs w:val="20"/>
        </w:rPr>
        <w:t xml:space="preserve">concentran riqueza. Parte del criterio de Patrimonio Presunto directamente aplicado a las 50 familias más poderosas del país que declararon en revistas especializadas el total de sus fortunas (sobre la base de </w:t>
      </w:r>
      <w:r w:rsidR="00780265" w:rsidRPr="003D4124">
        <w:rPr>
          <w:i/>
          <w:iCs/>
          <w:sz w:val="20"/>
          <w:szCs w:val="20"/>
        </w:rPr>
        <w:t>información</w:t>
      </w:r>
      <w:r w:rsidR="003D4124" w:rsidRPr="003D4124">
        <w:rPr>
          <w:i/>
          <w:iCs/>
          <w:sz w:val="20"/>
          <w:szCs w:val="20"/>
        </w:rPr>
        <w:t xml:space="preserve"> de AFIP se infirió las magnitudes de tenencia fuera y dentro de país). Desconocemos </w:t>
      </w:r>
      <w:r w:rsidR="00780265">
        <w:rPr>
          <w:i/>
          <w:iCs/>
          <w:sz w:val="20"/>
          <w:szCs w:val="20"/>
        </w:rPr>
        <w:t xml:space="preserve">cuánto sabe el ente regulador de esta </w:t>
      </w:r>
      <w:r w:rsidR="00186F42">
        <w:rPr>
          <w:i/>
          <w:iCs/>
          <w:sz w:val="20"/>
          <w:szCs w:val="20"/>
        </w:rPr>
        <w:t>elite,</w:t>
      </w:r>
      <w:r w:rsidR="00780265">
        <w:rPr>
          <w:i/>
          <w:iCs/>
          <w:sz w:val="20"/>
          <w:szCs w:val="20"/>
        </w:rPr>
        <w:t xml:space="preserve"> pero sabemos que informan un monto muy inferior ya que, según la información que se dispone, en el segmento de contribuyentes que superan los 10 millones de dólares (donde estarían incluidos) se detectan más de 6 mil individuos que totalizan casi el equivalente al monto acumulado a las 50 familias. A su vez, también desconocemos la magnitud de encubrimiento patrimonial del resto</w:t>
      </w:r>
      <w:r w:rsidR="00EC3622">
        <w:rPr>
          <w:i/>
          <w:iCs/>
          <w:sz w:val="20"/>
          <w:szCs w:val="20"/>
        </w:rPr>
        <w:t xml:space="preserve"> de los millonarios</w:t>
      </w:r>
      <w:r w:rsidR="00780265">
        <w:rPr>
          <w:i/>
          <w:iCs/>
          <w:sz w:val="20"/>
          <w:szCs w:val="20"/>
        </w:rPr>
        <w:t xml:space="preserve">, pero también sabemos que hay por lo menos 950 cuentas financieras en el exterior no declaradas o </w:t>
      </w:r>
      <w:proofErr w:type="spellStart"/>
      <w:r w:rsidR="00780265">
        <w:rPr>
          <w:i/>
          <w:iCs/>
          <w:sz w:val="20"/>
          <w:szCs w:val="20"/>
        </w:rPr>
        <w:t>subdeclaradas</w:t>
      </w:r>
      <w:proofErr w:type="spellEnd"/>
      <w:r w:rsidR="00780265">
        <w:rPr>
          <w:i/>
          <w:iCs/>
          <w:sz w:val="20"/>
          <w:szCs w:val="20"/>
        </w:rPr>
        <w:t xml:space="preserve">. Para este universo, también ligado con los resortes de acumulación dominante de la Argentina (cúpula </w:t>
      </w:r>
      <w:proofErr w:type="spellStart"/>
      <w:r w:rsidR="00780265">
        <w:rPr>
          <w:i/>
          <w:iCs/>
          <w:sz w:val="20"/>
          <w:szCs w:val="20"/>
        </w:rPr>
        <w:t>empresaria</w:t>
      </w:r>
      <w:proofErr w:type="spellEnd"/>
      <w:r w:rsidR="00780265">
        <w:rPr>
          <w:i/>
          <w:iCs/>
          <w:sz w:val="20"/>
          <w:szCs w:val="20"/>
        </w:rPr>
        <w:t xml:space="preserve"> y sector financiero local) es preciso aplicar un Patrimonio Presunto Indirecto, mediado por una alícuota extraordinaria a la facturación de las grandes empresas y conglomerados radicados en el país. </w:t>
      </w:r>
    </w:p>
    <w:p w:rsidR="00780265" w:rsidRDefault="00780265" w:rsidP="00977F43">
      <w:pPr>
        <w:pStyle w:val="Prrafodelista"/>
        <w:shd w:val="clear" w:color="auto" w:fill="FFFFFF"/>
        <w:ind w:left="1068"/>
        <w:jc w:val="both"/>
        <w:rPr>
          <w:i/>
          <w:iCs/>
          <w:sz w:val="20"/>
          <w:szCs w:val="20"/>
        </w:rPr>
      </w:pPr>
    </w:p>
    <w:p w:rsidR="00780265" w:rsidRPr="003D4124" w:rsidRDefault="00780265" w:rsidP="00977F43">
      <w:pPr>
        <w:pStyle w:val="Prrafodelista"/>
        <w:shd w:val="clear" w:color="auto" w:fill="FFFFFF"/>
        <w:ind w:left="1068"/>
        <w:jc w:val="both"/>
        <w:rPr>
          <w:i/>
          <w:iCs/>
          <w:sz w:val="20"/>
          <w:szCs w:val="20"/>
        </w:rPr>
      </w:pPr>
      <w:r>
        <w:rPr>
          <w:i/>
          <w:iCs/>
          <w:sz w:val="20"/>
          <w:szCs w:val="20"/>
        </w:rPr>
        <w:t xml:space="preserve">El carácter extraordinario de una medida de estas </w:t>
      </w:r>
      <w:r w:rsidR="00186F42">
        <w:rPr>
          <w:i/>
          <w:iCs/>
          <w:sz w:val="20"/>
          <w:szCs w:val="20"/>
        </w:rPr>
        <w:t>características</w:t>
      </w:r>
      <w:r>
        <w:rPr>
          <w:i/>
          <w:iCs/>
          <w:sz w:val="20"/>
          <w:szCs w:val="20"/>
        </w:rPr>
        <w:t xml:space="preserve"> obliga a poner </w:t>
      </w:r>
      <w:r w:rsidR="00186F42">
        <w:rPr>
          <w:i/>
          <w:iCs/>
          <w:sz w:val="20"/>
          <w:szCs w:val="20"/>
        </w:rPr>
        <w:t>las necesidades recaudatorias</w:t>
      </w:r>
      <w:r>
        <w:rPr>
          <w:i/>
          <w:iCs/>
          <w:sz w:val="20"/>
          <w:szCs w:val="20"/>
        </w:rPr>
        <w:t xml:space="preserve"> en </w:t>
      </w:r>
      <w:r w:rsidR="00186F42">
        <w:rPr>
          <w:i/>
          <w:iCs/>
          <w:sz w:val="20"/>
          <w:szCs w:val="20"/>
        </w:rPr>
        <w:t>relación</w:t>
      </w:r>
      <w:r>
        <w:rPr>
          <w:i/>
          <w:iCs/>
          <w:sz w:val="20"/>
          <w:szCs w:val="20"/>
        </w:rPr>
        <w:t xml:space="preserve"> con una necesidad</w:t>
      </w:r>
      <w:r w:rsidR="00EC3622">
        <w:rPr>
          <w:i/>
          <w:iCs/>
          <w:sz w:val="20"/>
          <w:szCs w:val="20"/>
        </w:rPr>
        <w:t xml:space="preserve"> de gasto</w:t>
      </w:r>
      <w:r>
        <w:rPr>
          <w:i/>
          <w:iCs/>
          <w:sz w:val="20"/>
          <w:szCs w:val="20"/>
        </w:rPr>
        <w:t xml:space="preserve"> </w:t>
      </w:r>
      <w:r w:rsidR="00EC3622">
        <w:rPr>
          <w:i/>
          <w:iCs/>
          <w:sz w:val="20"/>
          <w:szCs w:val="20"/>
        </w:rPr>
        <w:t xml:space="preserve">público </w:t>
      </w:r>
      <w:r>
        <w:rPr>
          <w:i/>
          <w:iCs/>
          <w:sz w:val="20"/>
          <w:szCs w:val="20"/>
        </w:rPr>
        <w:t>concreto. Y no cabe du</w:t>
      </w:r>
      <w:r w:rsidR="00186F42">
        <w:rPr>
          <w:i/>
          <w:iCs/>
          <w:sz w:val="20"/>
          <w:szCs w:val="20"/>
        </w:rPr>
        <w:t>d</w:t>
      </w:r>
      <w:r>
        <w:rPr>
          <w:i/>
          <w:iCs/>
          <w:sz w:val="20"/>
          <w:szCs w:val="20"/>
        </w:rPr>
        <w:t xml:space="preserve">as </w:t>
      </w:r>
      <w:r w:rsidR="00332D97">
        <w:rPr>
          <w:i/>
          <w:iCs/>
          <w:sz w:val="20"/>
          <w:szCs w:val="20"/>
        </w:rPr>
        <w:t>que,</w:t>
      </w:r>
      <w:r>
        <w:rPr>
          <w:i/>
          <w:iCs/>
          <w:sz w:val="20"/>
          <w:szCs w:val="20"/>
        </w:rPr>
        <w:t xml:space="preserve"> en </w:t>
      </w:r>
      <w:r w:rsidR="00186F42">
        <w:rPr>
          <w:i/>
          <w:iCs/>
          <w:sz w:val="20"/>
          <w:szCs w:val="20"/>
        </w:rPr>
        <w:t>las circunstancias actuales,</w:t>
      </w:r>
      <w:r>
        <w:rPr>
          <w:i/>
          <w:iCs/>
          <w:sz w:val="20"/>
          <w:szCs w:val="20"/>
        </w:rPr>
        <w:t xml:space="preserve"> ésta tiene que ver con garantiza</w:t>
      </w:r>
      <w:r w:rsidR="00186F42">
        <w:rPr>
          <w:i/>
          <w:iCs/>
          <w:sz w:val="20"/>
          <w:szCs w:val="20"/>
        </w:rPr>
        <w:t>r</w:t>
      </w:r>
      <w:r>
        <w:rPr>
          <w:i/>
          <w:iCs/>
          <w:sz w:val="20"/>
          <w:szCs w:val="20"/>
        </w:rPr>
        <w:t xml:space="preserve"> un piso de ingresos al conjunto de los hogares, un</w:t>
      </w:r>
      <w:r w:rsidR="00186F42">
        <w:rPr>
          <w:i/>
          <w:iCs/>
          <w:sz w:val="20"/>
          <w:szCs w:val="20"/>
        </w:rPr>
        <w:t>a transferencia universal por persona sin límites de edad, sin incompatibilidades, sin penalidades e indiscriminado para el conjunto de los 45 millones de habitantes, en línea con la canasta de alimentos, durante por lo menos tres meses.</w:t>
      </w:r>
      <w:r w:rsidR="008000EF">
        <w:rPr>
          <w:i/>
          <w:iCs/>
          <w:sz w:val="20"/>
          <w:szCs w:val="20"/>
        </w:rPr>
        <w:t xml:space="preserve"> Se trata de garantizar $5.000 por persona ($ 20.000 para una familia tipo). Objetivo este que </w:t>
      </w:r>
      <w:r w:rsidR="00186F42">
        <w:rPr>
          <w:i/>
          <w:iCs/>
          <w:sz w:val="20"/>
          <w:szCs w:val="20"/>
        </w:rPr>
        <w:t xml:space="preserve"> implica la necesidad de disponer de aproximadamente 674 mil millones de pesos.</w:t>
      </w:r>
      <w:r w:rsidR="00332D97">
        <w:rPr>
          <w:i/>
          <w:iCs/>
          <w:sz w:val="20"/>
          <w:szCs w:val="20"/>
        </w:rPr>
        <w:t xml:space="preserve"> Por lo tanto, si mediante la aplicación de las modificaciones progresivas y extraordinarias que proponemos sobre Bienes Personales se recaudaría aproximadamente U$S 6.562 millones, el resto para completar el financiamiento del piso de ingresos debería ser completado con una alícuota del 4,9% a los montos de facturación de las empresas de la cúpula empresa y los bancos. A </w:t>
      </w:r>
      <w:r w:rsidR="00B272F6">
        <w:rPr>
          <w:i/>
          <w:iCs/>
          <w:sz w:val="20"/>
          <w:szCs w:val="20"/>
        </w:rPr>
        <w:t>continuación,</w:t>
      </w:r>
      <w:r w:rsidR="00332D97">
        <w:rPr>
          <w:i/>
          <w:iCs/>
          <w:sz w:val="20"/>
          <w:szCs w:val="20"/>
        </w:rPr>
        <w:t xml:space="preserve"> presentamos nuestras estimaciones </w:t>
      </w:r>
      <w:r w:rsidR="00CF0A08">
        <w:rPr>
          <w:i/>
          <w:iCs/>
          <w:sz w:val="20"/>
          <w:szCs w:val="20"/>
        </w:rPr>
        <w:t>provisorias</w:t>
      </w:r>
      <w:r w:rsidR="00332D97">
        <w:rPr>
          <w:i/>
          <w:iCs/>
          <w:sz w:val="20"/>
          <w:szCs w:val="20"/>
        </w:rPr>
        <w:t>.</w:t>
      </w:r>
    </w:p>
    <w:p w:rsidR="007D4EC4" w:rsidRDefault="007D4EC4" w:rsidP="00977F43">
      <w:pPr>
        <w:pStyle w:val="Prrafodelista"/>
        <w:shd w:val="clear" w:color="auto" w:fill="FFFFFF"/>
        <w:ind w:left="1068"/>
        <w:jc w:val="both"/>
      </w:pPr>
    </w:p>
    <w:p w:rsidR="00696684" w:rsidRDefault="00696684" w:rsidP="00977F43">
      <w:pPr>
        <w:pStyle w:val="Prrafodelista"/>
        <w:shd w:val="clear" w:color="auto" w:fill="FFFFFF"/>
        <w:ind w:left="1068"/>
        <w:jc w:val="both"/>
        <w:rPr>
          <w:sz w:val="20"/>
          <w:szCs w:val="20"/>
        </w:rPr>
      </w:pPr>
    </w:p>
    <w:p w:rsidR="00254A39" w:rsidRDefault="00254A39" w:rsidP="00977F43">
      <w:pPr>
        <w:pStyle w:val="Prrafodelista"/>
        <w:shd w:val="clear" w:color="auto" w:fill="FFFFFF"/>
        <w:ind w:left="1068"/>
        <w:jc w:val="both"/>
        <w:rPr>
          <w:sz w:val="20"/>
          <w:szCs w:val="20"/>
        </w:rPr>
      </w:pPr>
      <w:r>
        <w:rPr>
          <w:b/>
          <w:sz w:val="22"/>
          <w:szCs w:val="22"/>
          <w:u w:val="single"/>
        </w:rPr>
        <w:t xml:space="preserve">Cuadro  Nº </w:t>
      </w:r>
      <w:r w:rsidR="003B2B37">
        <w:rPr>
          <w:b/>
          <w:sz w:val="22"/>
          <w:szCs w:val="22"/>
          <w:u w:val="single"/>
        </w:rPr>
        <w:t>9</w:t>
      </w:r>
      <w:r>
        <w:rPr>
          <w:b/>
          <w:sz w:val="22"/>
          <w:szCs w:val="22"/>
          <w:u w:val="single"/>
        </w:rPr>
        <w:t xml:space="preserve">: Clasificación de grandes contribuyentes, según cantidad de personas y patrimonios, bajo un esquema de </w:t>
      </w:r>
      <w:r w:rsidR="00790A7B">
        <w:rPr>
          <w:b/>
          <w:sz w:val="22"/>
          <w:szCs w:val="22"/>
          <w:u w:val="single"/>
        </w:rPr>
        <w:t>tributación de alícuotas escalonadas.</w:t>
      </w:r>
      <w:r w:rsidR="00117BED">
        <w:rPr>
          <w:b/>
          <w:sz w:val="22"/>
          <w:szCs w:val="22"/>
          <w:u w:val="single"/>
        </w:rPr>
        <w:t xml:space="preserve"> En millones de dólares.</w:t>
      </w:r>
    </w:p>
    <w:p w:rsidR="00696684" w:rsidRDefault="00696684" w:rsidP="00977F43">
      <w:pPr>
        <w:pStyle w:val="Prrafodelista"/>
        <w:shd w:val="clear" w:color="auto" w:fill="FFFFFF"/>
        <w:ind w:left="1068"/>
        <w:jc w:val="both"/>
        <w:rPr>
          <w:sz w:val="20"/>
          <w:szCs w:val="20"/>
        </w:rPr>
      </w:pPr>
    </w:p>
    <w:p w:rsidR="00696684" w:rsidRDefault="00332D97" w:rsidP="00B272F6">
      <w:pPr>
        <w:pStyle w:val="Prrafodelista"/>
        <w:shd w:val="clear" w:color="auto" w:fill="FFFFFF"/>
        <w:ind w:left="-426"/>
        <w:rPr>
          <w:sz w:val="20"/>
          <w:szCs w:val="20"/>
        </w:rPr>
      </w:pPr>
      <w:r w:rsidRPr="00332D97">
        <w:rPr>
          <w:noProof/>
          <w:sz w:val="20"/>
          <w:szCs w:val="20"/>
          <w:lang w:val="es-AR" w:eastAsia="es-AR"/>
        </w:rPr>
        <w:drawing>
          <wp:inline distT="0" distB="0" distL="0" distR="0">
            <wp:extent cx="6486919" cy="1443790"/>
            <wp:effectExtent l="0" t="0" r="317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2829" cy="1449557"/>
                    </a:xfrm>
                    <a:prstGeom prst="rect">
                      <a:avLst/>
                    </a:prstGeom>
                  </pic:spPr>
                </pic:pic>
              </a:graphicData>
            </a:graphic>
          </wp:inline>
        </w:drawing>
      </w:r>
    </w:p>
    <w:p w:rsidR="003A6A96" w:rsidRDefault="003A6A96" w:rsidP="003A6A96">
      <w:pPr>
        <w:pStyle w:val="Prrafodelista"/>
        <w:jc w:val="both"/>
        <w:rPr>
          <w:sz w:val="20"/>
        </w:rPr>
      </w:pPr>
      <w:r w:rsidRPr="003A6A96">
        <w:rPr>
          <w:sz w:val="20"/>
        </w:rPr>
        <w:t>* Estimaciones propias: Se estimó, en f</w:t>
      </w:r>
      <w:bookmarkStart w:id="0" w:name="_GoBack"/>
      <w:bookmarkEnd w:id="0"/>
      <w:r w:rsidRPr="003A6A96">
        <w:rPr>
          <w:sz w:val="20"/>
        </w:rPr>
        <w:t>unción de</w:t>
      </w:r>
      <w:r>
        <w:rPr>
          <w:sz w:val="20"/>
        </w:rPr>
        <w:t xml:space="preserve"> </w:t>
      </w:r>
      <w:r w:rsidRPr="003A6A96">
        <w:rPr>
          <w:sz w:val="20"/>
        </w:rPr>
        <w:t>la relación declaración - no declaración entre AFIP y consultoras privadas, una posible capacidad de captación de las 50 fortunas más grandes por parte de AFIP</w:t>
      </w:r>
    </w:p>
    <w:p w:rsidR="003A6A96" w:rsidRPr="003A6A96" w:rsidRDefault="003A6A96" w:rsidP="003A6A96">
      <w:pPr>
        <w:pStyle w:val="Prrafodelista"/>
        <w:jc w:val="both"/>
        <w:rPr>
          <w:sz w:val="20"/>
        </w:rPr>
      </w:pPr>
      <w:r w:rsidRPr="003A6A96">
        <w:rPr>
          <w:sz w:val="20"/>
        </w:rPr>
        <w:t>El rec</w:t>
      </w:r>
      <w:r>
        <w:rPr>
          <w:sz w:val="20"/>
        </w:rPr>
        <w:t>u</w:t>
      </w:r>
      <w:r w:rsidRPr="003A6A96">
        <w:rPr>
          <w:sz w:val="20"/>
        </w:rPr>
        <w:t xml:space="preserve">adro gris es la información de AFIP y el subsiguiente que tiene la misma referencia es una estimación del </w:t>
      </w:r>
      <w:r>
        <w:rPr>
          <w:sz w:val="20"/>
        </w:rPr>
        <w:t>a</w:t>
      </w:r>
      <w:r w:rsidRPr="003A6A96">
        <w:rPr>
          <w:sz w:val="20"/>
        </w:rPr>
        <w:t>nterior descontando la inferencia de captación de las 50 fortunas para no duplicar la información</w:t>
      </w:r>
    </w:p>
    <w:p w:rsidR="00254A39" w:rsidRPr="00254A39" w:rsidRDefault="00254A39" w:rsidP="00254A39">
      <w:pPr>
        <w:pStyle w:val="Prrafodelista"/>
        <w:rPr>
          <w:sz w:val="20"/>
        </w:rPr>
      </w:pPr>
      <w:r w:rsidRPr="00254A39">
        <w:rPr>
          <w:sz w:val="20"/>
          <w:u w:val="single"/>
        </w:rPr>
        <w:t>Fuente</w:t>
      </w:r>
      <w:r w:rsidRPr="00254A39">
        <w:rPr>
          <w:sz w:val="20"/>
        </w:rPr>
        <w:t xml:space="preserve">: Elaboración propia en base a datos de AFIP, según informes publicados por Alejandro </w:t>
      </w:r>
      <w:proofErr w:type="spellStart"/>
      <w:r w:rsidRPr="00254A39">
        <w:rPr>
          <w:sz w:val="20"/>
        </w:rPr>
        <w:t>Bercovich</w:t>
      </w:r>
      <w:proofErr w:type="spellEnd"/>
      <w:r w:rsidRPr="00254A39">
        <w:rPr>
          <w:sz w:val="20"/>
        </w:rPr>
        <w:t xml:space="preserve"> y </w:t>
      </w:r>
      <w:proofErr w:type="spellStart"/>
      <w:r w:rsidRPr="00254A39">
        <w:rPr>
          <w:sz w:val="20"/>
        </w:rPr>
        <w:t>Capgemini</w:t>
      </w:r>
      <w:proofErr w:type="spellEnd"/>
      <w:r w:rsidRPr="00254A39">
        <w:rPr>
          <w:sz w:val="20"/>
        </w:rPr>
        <w:t>.</w:t>
      </w:r>
    </w:p>
    <w:p w:rsidR="004E7B41" w:rsidRDefault="004E7B41" w:rsidP="00977F43">
      <w:pPr>
        <w:pStyle w:val="Prrafodelista"/>
        <w:shd w:val="clear" w:color="auto" w:fill="FFFFFF"/>
        <w:ind w:left="1068"/>
        <w:jc w:val="both"/>
        <w:rPr>
          <w:sz w:val="20"/>
          <w:szCs w:val="20"/>
        </w:rPr>
      </w:pPr>
    </w:p>
    <w:p w:rsidR="003B2B37" w:rsidRDefault="003B2B37" w:rsidP="00977F43">
      <w:pPr>
        <w:pStyle w:val="Prrafodelista"/>
        <w:shd w:val="clear" w:color="auto" w:fill="FFFFFF"/>
        <w:ind w:left="1068"/>
        <w:jc w:val="both"/>
        <w:rPr>
          <w:sz w:val="20"/>
          <w:szCs w:val="20"/>
        </w:rPr>
      </w:pPr>
    </w:p>
    <w:p w:rsidR="008C6EA3" w:rsidRPr="008C6EA3" w:rsidRDefault="008C6EA3" w:rsidP="003B2B37">
      <w:pPr>
        <w:pStyle w:val="Prrafodelista"/>
        <w:shd w:val="clear" w:color="auto" w:fill="FFFFFF"/>
        <w:ind w:left="426"/>
        <w:jc w:val="both"/>
        <w:rPr>
          <w:sz w:val="20"/>
          <w:szCs w:val="20"/>
        </w:rPr>
      </w:pPr>
      <w:r>
        <w:rPr>
          <w:b/>
          <w:sz w:val="22"/>
          <w:szCs w:val="22"/>
          <w:u w:val="single"/>
        </w:rPr>
        <w:t xml:space="preserve">Cuadro  Nº </w:t>
      </w:r>
      <w:r w:rsidR="003B2B37">
        <w:rPr>
          <w:b/>
          <w:sz w:val="22"/>
          <w:szCs w:val="22"/>
          <w:u w:val="single"/>
        </w:rPr>
        <w:t>10</w:t>
      </w:r>
      <w:r>
        <w:rPr>
          <w:b/>
          <w:sz w:val="22"/>
          <w:szCs w:val="22"/>
          <w:u w:val="single"/>
        </w:rPr>
        <w:t>: Estimación de la alícuota extraordinaria a la facturación de las grandes firmas. En millones de Pesos.</w:t>
      </w:r>
    </w:p>
    <w:p w:rsidR="00CB3851" w:rsidRDefault="008C6EA3" w:rsidP="008C6EA3">
      <w:pPr>
        <w:shd w:val="clear" w:color="auto" w:fill="FFFFFF"/>
        <w:ind w:firstLine="708"/>
        <w:jc w:val="center"/>
      </w:pPr>
      <w:r w:rsidRPr="008C6EA3">
        <w:rPr>
          <w:noProof/>
          <w:lang w:val="es-AR" w:eastAsia="es-AR"/>
        </w:rPr>
        <w:drawing>
          <wp:inline distT="0" distB="0" distL="0" distR="0">
            <wp:extent cx="4090736" cy="1487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5927" cy="1496700"/>
                    </a:xfrm>
                    <a:prstGeom prst="rect">
                      <a:avLst/>
                    </a:prstGeom>
                  </pic:spPr>
                </pic:pic>
              </a:graphicData>
            </a:graphic>
          </wp:inline>
        </w:drawing>
      </w:r>
    </w:p>
    <w:p w:rsidR="008C6EA3" w:rsidRPr="008C6EA3" w:rsidRDefault="008C6EA3" w:rsidP="008C6EA3">
      <w:pPr>
        <w:shd w:val="clear" w:color="auto" w:fill="FFFFFF"/>
        <w:ind w:firstLine="708"/>
        <w:jc w:val="center"/>
        <w:rPr>
          <w:sz w:val="20"/>
          <w:szCs w:val="20"/>
        </w:rPr>
      </w:pPr>
      <w:r w:rsidRPr="008C6EA3">
        <w:rPr>
          <w:sz w:val="20"/>
          <w:szCs w:val="20"/>
        </w:rPr>
        <w:t>* Son los U$S 6.562 millones al tipo de cambio del 2019 (48,1). Este monto a marzo 2020, con el TC actual es superior en pesos, de $414.063</w:t>
      </w:r>
    </w:p>
    <w:p w:rsidR="008C6EA3" w:rsidRPr="008C6EA3" w:rsidRDefault="008C6EA3" w:rsidP="008C6EA3">
      <w:pPr>
        <w:shd w:val="clear" w:color="auto" w:fill="FFFFFF"/>
        <w:ind w:firstLine="708"/>
        <w:jc w:val="center"/>
        <w:rPr>
          <w:sz w:val="20"/>
          <w:szCs w:val="20"/>
        </w:rPr>
      </w:pPr>
      <w:r w:rsidRPr="008C6EA3">
        <w:rPr>
          <w:sz w:val="20"/>
          <w:szCs w:val="20"/>
        </w:rPr>
        <w:t>**La última información disponible del total de facturación corresponde al año 2018 cuando el tipo de cambio fue en promedio del 28,1. Se estimó el año 2019 sosteniendo la relación con el valor de la moneda</w:t>
      </w:r>
    </w:p>
    <w:p w:rsidR="008C6EA3" w:rsidRPr="008C6EA3" w:rsidRDefault="008C6EA3" w:rsidP="008C6EA3">
      <w:pPr>
        <w:shd w:val="clear" w:color="auto" w:fill="FFFFFF"/>
        <w:ind w:firstLine="708"/>
        <w:jc w:val="center"/>
        <w:rPr>
          <w:sz w:val="20"/>
          <w:szCs w:val="20"/>
          <w:highlight w:val="yellow"/>
        </w:rPr>
      </w:pPr>
    </w:p>
    <w:p w:rsidR="008C6EA3" w:rsidRDefault="008C6EA3" w:rsidP="008C6EA3">
      <w:pPr>
        <w:shd w:val="clear" w:color="auto" w:fill="FFFFFF"/>
        <w:ind w:firstLine="708"/>
        <w:jc w:val="center"/>
        <w:rPr>
          <w:sz w:val="20"/>
          <w:szCs w:val="20"/>
          <w:highlight w:val="yellow"/>
        </w:rPr>
      </w:pPr>
    </w:p>
    <w:p w:rsidR="008C6EA3" w:rsidRDefault="008C6EA3" w:rsidP="008C6EA3">
      <w:pPr>
        <w:shd w:val="clear" w:color="auto" w:fill="FFFFFF"/>
        <w:ind w:firstLine="708"/>
        <w:jc w:val="center"/>
        <w:rPr>
          <w:sz w:val="20"/>
          <w:szCs w:val="20"/>
          <w:highlight w:val="yellow"/>
        </w:rPr>
      </w:pPr>
    </w:p>
    <w:p w:rsidR="008C6EA3" w:rsidRPr="003B2B37" w:rsidRDefault="003B2B37" w:rsidP="008C6EA3">
      <w:pPr>
        <w:shd w:val="clear" w:color="auto" w:fill="FFFFFF"/>
        <w:ind w:firstLine="708"/>
        <w:jc w:val="both"/>
        <w:rPr>
          <w:iCs/>
        </w:rPr>
      </w:pPr>
      <w:r w:rsidRPr="003B2B37">
        <w:rPr>
          <w:iCs/>
        </w:rPr>
        <w:t xml:space="preserve">Lo aquí propuesto consideramos que debe ser el punto de partida para terminar con la planificación fiscal nociva y delictiva del poder económico </w:t>
      </w:r>
      <w:r>
        <w:rPr>
          <w:iCs/>
        </w:rPr>
        <w:t>de</w:t>
      </w:r>
      <w:r w:rsidRPr="003B2B37">
        <w:rPr>
          <w:iCs/>
        </w:rPr>
        <w:t xml:space="preserve"> la Argentina.</w:t>
      </w:r>
      <w:r>
        <w:rPr>
          <w:iCs/>
        </w:rPr>
        <w:t xml:space="preserve"> No agota la discusión</w:t>
      </w:r>
      <w:r w:rsidR="006D2904">
        <w:rPr>
          <w:iCs/>
        </w:rPr>
        <w:t xml:space="preserve"> pendiente</w:t>
      </w:r>
      <w:r>
        <w:rPr>
          <w:iCs/>
        </w:rPr>
        <w:t xml:space="preserve"> sobre </w:t>
      </w:r>
      <w:r w:rsidR="006D2904">
        <w:rPr>
          <w:iCs/>
        </w:rPr>
        <w:t>una</w:t>
      </w:r>
      <w:r>
        <w:rPr>
          <w:iCs/>
        </w:rPr>
        <w:t xml:space="preserve"> reforma fiscal de carácter integral.</w:t>
      </w:r>
      <w:r w:rsidRPr="003B2B37">
        <w:rPr>
          <w:iCs/>
        </w:rPr>
        <w:t xml:space="preserve"> Es </w:t>
      </w:r>
      <w:r w:rsidR="006D2904">
        <w:rPr>
          <w:iCs/>
        </w:rPr>
        <w:t xml:space="preserve">sólo </w:t>
      </w:r>
      <w:r w:rsidRPr="003B2B37">
        <w:rPr>
          <w:iCs/>
        </w:rPr>
        <w:t xml:space="preserve">una contribución en el marco de la emergencia suscitada por la pandemia Covid-19 que le exige al gobierno nacional sostener ingresos y nivel de actividad económica. La búsqueda </w:t>
      </w:r>
      <w:r>
        <w:rPr>
          <w:iCs/>
        </w:rPr>
        <w:t xml:space="preserve">alternativa </w:t>
      </w:r>
      <w:r w:rsidRPr="003B2B37">
        <w:rPr>
          <w:iCs/>
        </w:rPr>
        <w:t>de</w:t>
      </w:r>
      <w:r>
        <w:rPr>
          <w:iCs/>
        </w:rPr>
        <w:t xml:space="preserve">l </w:t>
      </w:r>
      <w:r w:rsidRPr="003B2B37">
        <w:rPr>
          <w:iCs/>
        </w:rPr>
        <w:t xml:space="preserve">financiamiento para fortalecer la intervención del estado </w:t>
      </w:r>
      <w:r>
        <w:rPr>
          <w:iCs/>
        </w:rPr>
        <w:t>no es una opción sino una necesidad para una estructura recaudatoria cuyo basamento es la actividad económica y los ingresos populares que hoy se encuentran en crisis. Es evidente que el estado tiene dificultades para gravar a los ricos</w:t>
      </w:r>
      <w:r w:rsidR="006D2904">
        <w:rPr>
          <w:iCs/>
        </w:rPr>
        <w:t>, por eso lo que aquí presentamos son algunos lineamientos de propuesta que pueden formar parte de un primer paso en dirección a organizar la recaudación pública sobre otras bases tributarias.</w:t>
      </w:r>
    </w:p>
    <w:p w:rsidR="008C6EA3" w:rsidRPr="008C6EA3" w:rsidRDefault="008C6EA3" w:rsidP="008C6EA3">
      <w:pPr>
        <w:shd w:val="clear" w:color="auto" w:fill="FFFFFF"/>
        <w:ind w:firstLine="708"/>
        <w:jc w:val="both"/>
        <w:rPr>
          <w:sz w:val="20"/>
          <w:szCs w:val="20"/>
          <w:highlight w:val="yellow"/>
        </w:rPr>
      </w:pPr>
    </w:p>
    <w:p w:rsidR="006D2904" w:rsidRDefault="006D2904" w:rsidP="00E94DA4">
      <w:pPr>
        <w:pStyle w:val="Normal1"/>
        <w:pBdr>
          <w:top w:val="nil"/>
          <w:left w:val="nil"/>
          <w:bottom w:val="nil"/>
          <w:right w:val="nil"/>
          <w:between w:val="nil"/>
        </w:pBdr>
        <w:spacing w:before="240" w:after="240"/>
        <w:jc w:val="both"/>
      </w:pPr>
    </w:p>
    <w:p w:rsidR="006D2904" w:rsidRDefault="006D2904" w:rsidP="00E94DA4">
      <w:pPr>
        <w:pStyle w:val="Normal1"/>
        <w:pBdr>
          <w:top w:val="nil"/>
          <w:left w:val="nil"/>
          <w:bottom w:val="nil"/>
          <w:right w:val="nil"/>
          <w:between w:val="nil"/>
        </w:pBdr>
        <w:spacing w:before="240" w:after="240"/>
        <w:jc w:val="both"/>
      </w:pPr>
    </w:p>
    <w:p w:rsidR="005E1E84" w:rsidRDefault="004E7B41" w:rsidP="00E94DA4">
      <w:pPr>
        <w:pStyle w:val="Normal1"/>
        <w:pBdr>
          <w:top w:val="nil"/>
          <w:left w:val="nil"/>
          <w:bottom w:val="nil"/>
          <w:right w:val="nil"/>
          <w:between w:val="nil"/>
        </w:pBdr>
        <w:spacing w:before="240" w:after="240"/>
        <w:jc w:val="both"/>
      </w:pPr>
      <w:r>
        <w:t xml:space="preserve">En el anexo se presenta el listado de empresas y bancos que tuvieron una excelente performance durante los últimos cuatro años. </w:t>
      </w:r>
    </w:p>
    <w:p w:rsidR="007D3C81" w:rsidRDefault="007D3C81">
      <w:pPr>
        <w:rPr>
          <w:b/>
          <w:bCs/>
          <w:u w:val="single"/>
          <w:lang w:val="es-ES"/>
        </w:rPr>
      </w:pPr>
      <w:r>
        <w:rPr>
          <w:b/>
          <w:bCs/>
          <w:u w:val="single"/>
          <w:lang w:val="es-ES"/>
        </w:rPr>
        <w:br w:type="page"/>
      </w:r>
    </w:p>
    <w:p w:rsidR="00977F43" w:rsidRPr="004E7B41" w:rsidRDefault="004E7B41" w:rsidP="00E96398">
      <w:pPr>
        <w:rPr>
          <w:b/>
          <w:bCs/>
          <w:u w:val="single"/>
          <w:lang w:val="es-ES"/>
        </w:rPr>
      </w:pPr>
      <w:r w:rsidRPr="004E7B41">
        <w:rPr>
          <w:b/>
          <w:bCs/>
          <w:u w:val="single"/>
          <w:lang w:val="es-ES"/>
        </w:rPr>
        <w:t>ANEXO</w:t>
      </w:r>
    </w:p>
    <w:p w:rsidR="00F65133" w:rsidRDefault="00F65133" w:rsidP="00E96398">
      <w:pPr>
        <w:rPr>
          <w:b/>
          <w:bCs/>
          <w:lang w:val="es-ES"/>
        </w:rPr>
      </w:pPr>
    </w:p>
    <w:p w:rsidR="00F65133" w:rsidRDefault="00F65133" w:rsidP="00E96398">
      <w:pPr>
        <w:rPr>
          <w:b/>
          <w:bCs/>
          <w:lang w:val="es-ES"/>
        </w:rPr>
      </w:pPr>
    </w:p>
    <w:p w:rsidR="00E96398" w:rsidRDefault="00E96398" w:rsidP="00E96398">
      <w:pPr>
        <w:jc w:val="both"/>
        <w:rPr>
          <w:sz w:val="20"/>
          <w:szCs w:val="20"/>
          <w:lang w:val="es-ES"/>
        </w:rPr>
      </w:pPr>
    </w:p>
    <w:p w:rsidR="00E96398" w:rsidRPr="00353FF0" w:rsidRDefault="00E96398" w:rsidP="00E96398">
      <w:pPr>
        <w:jc w:val="both"/>
        <w:rPr>
          <w:b/>
          <w:sz w:val="22"/>
          <w:lang w:val="es-ES"/>
        </w:rPr>
      </w:pPr>
      <w:r w:rsidRPr="00353FF0">
        <w:rPr>
          <w:b/>
          <w:sz w:val="22"/>
          <w:lang w:val="es-ES"/>
        </w:rPr>
        <w:t xml:space="preserve">Cuadro </w:t>
      </w:r>
      <w:r w:rsidR="007D3C81">
        <w:rPr>
          <w:b/>
          <w:sz w:val="22"/>
          <w:lang w:val="es-ES"/>
        </w:rPr>
        <w:t>1</w:t>
      </w:r>
      <w:r w:rsidRPr="00353FF0">
        <w:rPr>
          <w:b/>
          <w:sz w:val="22"/>
          <w:lang w:val="es-ES"/>
        </w:rPr>
        <w:t>: Las empresas que permanecen y se expanden su facturación por encima del promedio. 2015 – 2018. En millones de pesos.</w:t>
      </w:r>
    </w:p>
    <w:tbl>
      <w:tblPr>
        <w:tblW w:w="10688" w:type="dxa"/>
        <w:tblLayout w:type="fixed"/>
        <w:tblCellMar>
          <w:left w:w="70" w:type="dxa"/>
          <w:right w:w="70" w:type="dxa"/>
        </w:tblCellMar>
        <w:tblLook w:val="04A0"/>
      </w:tblPr>
      <w:tblGrid>
        <w:gridCol w:w="382"/>
        <w:gridCol w:w="515"/>
        <w:gridCol w:w="515"/>
        <w:gridCol w:w="2416"/>
        <w:gridCol w:w="941"/>
        <w:gridCol w:w="987"/>
        <w:gridCol w:w="1027"/>
        <w:gridCol w:w="1843"/>
        <w:gridCol w:w="2062"/>
      </w:tblGrid>
      <w:tr w:rsidR="00E96398" w:rsidTr="00714463">
        <w:trPr>
          <w:trHeight w:val="920"/>
        </w:trPr>
        <w:tc>
          <w:tcPr>
            <w:tcW w:w="382"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rsidR="00E96398" w:rsidRPr="00F25370" w:rsidRDefault="00E96398" w:rsidP="00714463">
            <w:pPr>
              <w:jc w:val="center"/>
              <w:rPr>
                <w:rFonts w:ascii="Calibri" w:hAnsi="Calibri" w:cs="Calibri"/>
                <w:b/>
                <w:bCs/>
                <w:color w:val="FFFFFF"/>
                <w:sz w:val="16"/>
                <w:szCs w:val="16"/>
              </w:rPr>
            </w:pPr>
          </w:p>
        </w:tc>
        <w:tc>
          <w:tcPr>
            <w:tcW w:w="515" w:type="dxa"/>
            <w:tcBorders>
              <w:top w:val="single" w:sz="8" w:space="0" w:color="auto"/>
              <w:left w:val="single" w:sz="4" w:space="0" w:color="auto"/>
              <w:bottom w:val="single" w:sz="8" w:space="0" w:color="auto"/>
              <w:right w:val="single" w:sz="8" w:space="0" w:color="auto"/>
            </w:tcBorders>
            <w:shd w:val="clear" w:color="000000" w:fill="5B9BD5"/>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Rank. 2015</w:t>
            </w:r>
          </w:p>
        </w:tc>
        <w:tc>
          <w:tcPr>
            <w:tcW w:w="515" w:type="dxa"/>
            <w:tcBorders>
              <w:top w:val="single" w:sz="8" w:space="0" w:color="auto"/>
              <w:left w:val="nil"/>
              <w:bottom w:val="single" w:sz="8" w:space="0" w:color="auto"/>
              <w:right w:val="single" w:sz="8" w:space="0" w:color="auto"/>
            </w:tcBorders>
            <w:shd w:val="clear" w:color="000000" w:fill="5B9BD5"/>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Rank. 2018</w:t>
            </w:r>
          </w:p>
        </w:tc>
        <w:tc>
          <w:tcPr>
            <w:tcW w:w="2416" w:type="dxa"/>
            <w:tcBorders>
              <w:top w:val="single" w:sz="8" w:space="0" w:color="auto"/>
              <w:left w:val="nil"/>
              <w:bottom w:val="single" w:sz="8" w:space="0" w:color="auto"/>
              <w:right w:val="single" w:sz="8" w:space="0" w:color="auto"/>
            </w:tcBorders>
            <w:shd w:val="clear" w:color="000000" w:fill="5B9BD5"/>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 xml:space="preserve">Empres </w:t>
            </w:r>
          </w:p>
        </w:tc>
        <w:tc>
          <w:tcPr>
            <w:tcW w:w="941" w:type="dxa"/>
            <w:tcBorders>
              <w:top w:val="single" w:sz="8" w:space="0" w:color="auto"/>
              <w:left w:val="nil"/>
              <w:bottom w:val="single" w:sz="8" w:space="0" w:color="auto"/>
              <w:right w:val="single" w:sz="8" w:space="0" w:color="auto"/>
            </w:tcBorders>
            <w:shd w:val="clear" w:color="000000" w:fill="5B9BD5"/>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 xml:space="preserve">  2015  </w:t>
            </w:r>
          </w:p>
        </w:tc>
        <w:tc>
          <w:tcPr>
            <w:tcW w:w="987" w:type="dxa"/>
            <w:tcBorders>
              <w:top w:val="single" w:sz="8" w:space="0" w:color="auto"/>
              <w:left w:val="nil"/>
              <w:bottom w:val="single" w:sz="8" w:space="0" w:color="auto"/>
              <w:right w:val="single" w:sz="8" w:space="0" w:color="auto"/>
            </w:tcBorders>
            <w:shd w:val="clear" w:color="000000" w:fill="5B9BD5"/>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 xml:space="preserve"> 2018  </w:t>
            </w:r>
          </w:p>
        </w:tc>
        <w:tc>
          <w:tcPr>
            <w:tcW w:w="1027" w:type="dxa"/>
            <w:tcBorders>
              <w:top w:val="single" w:sz="8" w:space="0" w:color="auto"/>
              <w:left w:val="nil"/>
              <w:bottom w:val="single" w:sz="8" w:space="0" w:color="auto"/>
              <w:right w:val="single" w:sz="8" w:space="0" w:color="auto"/>
            </w:tcBorders>
            <w:shd w:val="clear" w:color="000000" w:fill="5B9BD5"/>
            <w:noWrap/>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VARIACION </w:t>
            </w:r>
          </w:p>
        </w:tc>
        <w:tc>
          <w:tcPr>
            <w:tcW w:w="1843" w:type="dxa"/>
            <w:tcBorders>
              <w:top w:val="single" w:sz="8" w:space="0" w:color="auto"/>
              <w:left w:val="nil"/>
              <w:bottom w:val="single" w:sz="8" w:space="0" w:color="auto"/>
              <w:right w:val="single" w:sz="8" w:space="0" w:color="auto"/>
            </w:tcBorders>
            <w:shd w:val="clear" w:color="000000" w:fill="5B9BD5"/>
            <w:vAlign w:val="center"/>
            <w:hideMark/>
          </w:tcPr>
          <w:p w:rsidR="00E96398" w:rsidRPr="00A37736" w:rsidRDefault="00E96398" w:rsidP="00714463">
            <w:pPr>
              <w:jc w:val="center"/>
              <w:rPr>
                <w:rFonts w:ascii="Calibri" w:hAnsi="Calibri" w:cs="Calibri"/>
                <w:b/>
                <w:bCs/>
                <w:color w:val="FFFFFF"/>
                <w:sz w:val="16"/>
                <w:szCs w:val="16"/>
              </w:rPr>
            </w:pPr>
            <w:r w:rsidRPr="00A37736">
              <w:rPr>
                <w:rFonts w:ascii="Calibri" w:hAnsi="Calibri" w:cs="Calibri"/>
                <w:b/>
                <w:bCs/>
                <w:color w:val="FFFFFF"/>
                <w:sz w:val="16"/>
                <w:szCs w:val="16"/>
              </w:rPr>
              <w:t>Rama de actividad</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Edenor</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$ 3.914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$ 55.954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1329,59%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198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Monsanto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$ 3.000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$ 37.410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1147,00%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Química (</w:t>
            </w:r>
            <w:proofErr w:type="spellStart"/>
            <w:r w:rsidRPr="00A37736">
              <w:rPr>
                <w:rFonts w:ascii="Calibri" w:hAnsi="Calibri" w:cs="Calibri"/>
                <w:color w:val="000000"/>
                <w:sz w:val="16"/>
                <w:szCs w:val="16"/>
              </w:rPr>
              <w:t>semillera</w:t>
            </w:r>
            <w:proofErr w:type="spellEnd"/>
            <w:r w:rsidRPr="00A37736">
              <w:rPr>
                <w:rFonts w:ascii="Calibri" w:hAnsi="Calibri" w:cs="Calibri"/>
                <w:color w:val="000000"/>
                <w:sz w:val="16"/>
                <w:szCs w:val="16"/>
              </w:rPr>
              <w:t>)</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Edesur</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$ 3.950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$ 44.079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1015,92%</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200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57</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Tecpetrol</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$ 2.915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$ 29.030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895,88%</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135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52</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Transpor</w:t>
            </w:r>
            <w:proofErr w:type="spellEnd"/>
            <w:r w:rsidRPr="00A37736">
              <w:rPr>
                <w:rFonts w:ascii="Calibri" w:hAnsi="Calibri" w:cs="Calibri"/>
                <w:color w:val="000000"/>
                <w:sz w:val="16"/>
                <w:szCs w:val="16"/>
              </w:rPr>
              <w:t>. de Gas del Sur</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$ 4.197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$ 34.000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710,10%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37</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Molino Cañuelas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$ 5.516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$ 44.100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699,49%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84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27</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ADM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$ 6.552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$ 51.700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689,07%</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Arcor</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$ 11.016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$ 85.629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677,31%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Alimentos, Bebidas y Tabaco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Total Austral</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$ 4.494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$ 33.800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652,11%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76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29</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Pampa Energía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$ 7.160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$ 51.022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612,60%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63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Mercado Libre</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$ 8.538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$ 54.275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535,69%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Comercio (tecnología)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Cencosud</w:t>
            </w:r>
            <w:proofErr w:type="spellEnd"/>
            <w:r w:rsidRPr="00A37736">
              <w:rPr>
                <w:rFonts w:ascii="Calibri" w:hAnsi="Calibri" w:cs="Calibri"/>
                <w:color w:val="000000"/>
                <w:sz w:val="16"/>
                <w:szCs w:val="16"/>
              </w:rPr>
              <w:t xml:space="preserve">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$ 12.700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$ 79.711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527,65%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Comercio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20</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Oleaginosa Moreno</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$ 10.011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$ 62.534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524,65%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Toyota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$ 29.710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$ 160.000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438,54%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73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Industrias John </w:t>
            </w:r>
            <w:proofErr w:type="spellStart"/>
            <w:r w:rsidRPr="00A37736">
              <w:rPr>
                <w:rFonts w:ascii="Calibri" w:hAnsi="Calibri" w:cs="Calibri"/>
                <w:color w:val="000000"/>
                <w:sz w:val="16"/>
                <w:szCs w:val="16"/>
              </w:rPr>
              <w:t>Deere</w:t>
            </w:r>
            <w:proofErr w:type="spellEnd"/>
            <w:r w:rsidRPr="00A37736">
              <w:rPr>
                <w:rFonts w:ascii="Calibri" w:hAnsi="Calibri" w:cs="Calibri"/>
                <w:color w:val="000000"/>
                <w:sz w:val="16"/>
                <w:szCs w:val="16"/>
              </w:rPr>
              <w:t xml:space="preserve"> </w:t>
            </w:r>
            <w:proofErr w:type="spellStart"/>
            <w:r w:rsidRPr="00A37736">
              <w:rPr>
                <w:rFonts w:ascii="Calibri" w:hAnsi="Calibri" w:cs="Calibri"/>
                <w:color w:val="000000"/>
                <w:sz w:val="16"/>
                <w:szCs w:val="16"/>
              </w:rPr>
              <w:t>Arg</w:t>
            </w:r>
            <w:proofErr w:type="spellEnd"/>
            <w:r w:rsidRPr="00A37736">
              <w:rPr>
                <w:rFonts w:ascii="Calibri" w:hAnsi="Calibri" w:cs="Calibri"/>
                <w:color w:val="000000"/>
                <w:sz w:val="16"/>
                <w:szCs w:val="16"/>
              </w:rPr>
              <w:t>.</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$ 4.072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$ 20.725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408,96%</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Pan American </w:t>
            </w:r>
            <w:proofErr w:type="spellStart"/>
            <w:r w:rsidRPr="00A37736">
              <w:rPr>
                <w:rFonts w:ascii="Calibri" w:hAnsi="Calibri" w:cs="Calibri"/>
                <w:color w:val="000000"/>
                <w:sz w:val="16"/>
                <w:szCs w:val="16"/>
              </w:rPr>
              <w:t>Energy</w:t>
            </w:r>
            <w:proofErr w:type="spellEnd"/>
            <w:r w:rsidRPr="00A37736">
              <w:rPr>
                <w:rFonts w:ascii="Calibri" w:hAnsi="Calibri" w:cs="Calibri"/>
                <w:color w:val="000000"/>
                <w:sz w:val="16"/>
                <w:szCs w:val="16"/>
              </w:rPr>
              <w:t xml:space="preserve"> LLC</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$ 30.400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$ 149.785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392,71%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98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59</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Rafael G. </w:t>
            </w:r>
            <w:proofErr w:type="spellStart"/>
            <w:r w:rsidRPr="00A37736">
              <w:rPr>
                <w:rFonts w:ascii="Calibri" w:hAnsi="Calibri" w:cs="Calibri"/>
                <w:color w:val="000000"/>
                <w:sz w:val="16"/>
                <w:szCs w:val="16"/>
              </w:rPr>
              <w:t>Albanesi</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$ 5.672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$ 27.439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383,76%</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85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Techint compañía técnica </w:t>
            </w:r>
            <w:proofErr w:type="spellStart"/>
            <w:r w:rsidRPr="00A37736">
              <w:rPr>
                <w:rFonts w:ascii="Calibri" w:hAnsi="Calibri" w:cs="Calibri"/>
                <w:color w:val="000000"/>
                <w:sz w:val="16"/>
                <w:szCs w:val="16"/>
              </w:rPr>
              <w:t>intern</w:t>
            </w:r>
            <w:proofErr w:type="spellEnd"/>
            <w:r w:rsidRPr="00A37736">
              <w:rPr>
                <w:rFonts w:ascii="Calibri" w:hAnsi="Calibri" w:cs="Calibri"/>
                <w:color w:val="000000"/>
                <w:sz w:val="16"/>
                <w:szCs w:val="16"/>
              </w:rPr>
              <w:t>.</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$ 4.000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$ 19.000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375,00%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117</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72</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Iveco</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$ 4.750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$ 21.553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353,75%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42</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22</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FCA (Ex Fiat Auto </w:t>
            </w:r>
            <w:proofErr w:type="spellStart"/>
            <w:r w:rsidRPr="00A37736">
              <w:rPr>
                <w:rFonts w:ascii="Calibri" w:hAnsi="Calibri" w:cs="Calibri"/>
                <w:color w:val="000000"/>
                <w:sz w:val="16"/>
                <w:szCs w:val="16"/>
              </w:rPr>
              <w:t>Arg</w:t>
            </w:r>
            <w:proofErr w:type="spellEnd"/>
            <w:r w:rsidRPr="00A37736">
              <w:rPr>
                <w:rFonts w:ascii="Calibri" w:hAnsi="Calibri" w:cs="Calibri"/>
                <w:color w:val="000000"/>
                <w:sz w:val="16"/>
                <w:szCs w:val="16"/>
              </w:rPr>
              <w:t>.)</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$ 13.165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$ 59.513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352,05%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80</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Kimberly</w:t>
            </w:r>
            <w:proofErr w:type="spellEnd"/>
            <w:r w:rsidRPr="00A37736">
              <w:rPr>
                <w:rFonts w:ascii="Calibri" w:hAnsi="Calibri" w:cs="Calibri"/>
                <w:color w:val="000000"/>
                <w:sz w:val="16"/>
                <w:szCs w:val="16"/>
              </w:rPr>
              <w:t>-Clark</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$ 4.409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$ 19.928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351,98%</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Industria Papelera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63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Wintershall</w:t>
            </w:r>
            <w:proofErr w:type="spellEnd"/>
            <w:r w:rsidRPr="00A37736">
              <w:rPr>
                <w:rFonts w:ascii="Calibri" w:hAnsi="Calibri" w:cs="Calibri"/>
                <w:color w:val="000000"/>
                <w:sz w:val="16"/>
                <w:szCs w:val="16"/>
              </w:rPr>
              <w:t xml:space="preserve"> Energía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$ 5.550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$ 24.763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346,18%</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52</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Siderca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$ 10.800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$ 47.546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340,24%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Siderurgia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99</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Cerro Vanguardia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$ 3.800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$ 16.728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340,21%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Minería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Vicentín</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$ 27.100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$ 118.015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335,48%</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195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Novartis</w:t>
            </w:r>
            <w:proofErr w:type="spellEnd"/>
            <w:r w:rsidRPr="00A37736">
              <w:rPr>
                <w:rFonts w:ascii="Calibri" w:hAnsi="Calibri" w:cs="Calibri"/>
                <w:color w:val="000000"/>
                <w:sz w:val="16"/>
                <w:szCs w:val="16"/>
              </w:rPr>
              <w:t xml:space="preserve">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$ 3.100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$ 13.310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329,35%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Fabricación de Productos Farmacéuticos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79</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Compañía industrial cervecera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4.745,00</w:t>
            </w:r>
          </w:p>
        </w:tc>
        <w:tc>
          <w:tcPr>
            <w:tcW w:w="98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20.212</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325,96%</w:t>
            </w:r>
          </w:p>
        </w:tc>
        <w:tc>
          <w:tcPr>
            <w:tcW w:w="1843"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Alimentos, Bebidas y Tabaco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Bunge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$ 20.331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$ 86.590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325,90%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Arcos Dorados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$ 3.571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$ 15.088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322,51%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Comercio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Telecom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$ 40.496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$ 169.100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317,57%</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Telecomunicaciones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186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120</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Central Puerto</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$ 3.250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$ 13.405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312,46%</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Energía, Gas y Agua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100</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Profertil</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$ 3.974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$ 16.287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309,84%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Química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180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Gador</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$ 3.400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$ 13.893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308,62%</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Fabricación de Productos Farmacéuticos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90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64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Aeropuertos Argentina 2000</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$ 5.973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$ 24.098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303,45%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Transporte</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88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Halliburton</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$ 4.500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$ 18.148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303,29%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172</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Scania</w:t>
            </w:r>
            <w:proofErr w:type="spellEnd"/>
            <w:r w:rsidRPr="00A37736">
              <w:rPr>
                <w:rFonts w:ascii="Calibri" w:hAnsi="Calibri" w:cs="Calibri"/>
                <w:color w:val="000000"/>
                <w:sz w:val="16"/>
                <w:szCs w:val="16"/>
              </w:rPr>
              <w:t xml:space="preserve">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$ 3.515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$ 14.085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300,71%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69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IATEC</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$ 7.471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$ 29.110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289,64%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Industria Electrónica/Electrodomésticos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107</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Syngenta</w:t>
            </w:r>
            <w:proofErr w:type="spellEnd"/>
            <w:r w:rsidRPr="00A37736">
              <w:rPr>
                <w:rFonts w:ascii="Calibri" w:hAnsi="Calibri" w:cs="Calibri"/>
                <w:color w:val="000000"/>
                <w:sz w:val="16"/>
                <w:szCs w:val="16"/>
              </w:rPr>
              <w:t xml:space="preserve"> Agro</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$ 3.802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$ 14.608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284,22%</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138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Honda Motors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$ 4.100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$ 15.590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280,24%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40</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PBB/</w:t>
            </w:r>
            <w:proofErr w:type="spellStart"/>
            <w:r w:rsidRPr="00A37736">
              <w:rPr>
                <w:rFonts w:ascii="Calibri" w:hAnsi="Calibri" w:cs="Calibri"/>
                <w:color w:val="000000"/>
                <w:sz w:val="16"/>
                <w:szCs w:val="16"/>
              </w:rPr>
              <w:t>Polisur</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$ 11.546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$ 43.450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276,32%</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Química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General Motors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$ 13.842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$ 51.611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272,86%</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Louis Dreyfus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$ 22.161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$ 78.741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255,31%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Cerealera</w:t>
            </w:r>
            <w:proofErr w:type="spellEnd"/>
            <w:r w:rsidRPr="00A37736">
              <w:rPr>
                <w:rFonts w:ascii="Calibri" w:hAnsi="Calibri" w:cs="Calibri"/>
                <w:color w:val="000000"/>
                <w:sz w:val="16"/>
                <w:szCs w:val="16"/>
              </w:rPr>
              <w:t xml:space="preserve"> y oleaginosa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42</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Aerolineas</w:t>
            </w:r>
            <w:proofErr w:type="spellEnd"/>
            <w:r w:rsidRPr="00A37736">
              <w:rPr>
                <w:rFonts w:ascii="Calibri" w:hAnsi="Calibri" w:cs="Calibri"/>
                <w:color w:val="000000"/>
                <w:sz w:val="16"/>
                <w:szCs w:val="16"/>
              </w:rPr>
              <w:t xml:space="preserve"> Argentinas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$ 12.500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$ 42.771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242,17%</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Transporte</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Petroquímica Comodoro Rivadavia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$ 3.950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$ 13.434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240,10%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Química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Volkswagen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$ 39.000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$ 130.000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233,33%</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51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Mercedes Benz</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$ 10.950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$ 36.273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231,26%</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132</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Pecom</w:t>
            </w:r>
            <w:proofErr w:type="spellEnd"/>
            <w:r w:rsidRPr="00A37736">
              <w:rPr>
                <w:rFonts w:ascii="Calibri" w:hAnsi="Calibri" w:cs="Calibri"/>
                <w:color w:val="000000"/>
                <w:sz w:val="16"/>
                <w:szCs w:val="16"/>
              </w:rPr>
              <w:t xml:space="preserve"> Servicios de Energía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$ 3.680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 xml:space="preserve">$ 12.041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227,20%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135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CLIBA Ingeniería Urbana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3.600,00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11.726</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225,72%</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Saneamiento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JBS Argentina (</w:t>
            </w:r>
            <w:proofErr w:type="spellStart"/>
            <w:r w:rsidRPr="00A37736">
              <w:rPr>
                <w:rFonts w:ascii="Calibri" w:hAnsi="Calibri" w:cs="Calibri"/>
                <w:color w:val="000000"/>
                <w:sz w:val="16"/>
                <w:szCs w:val="16"/>
              </w:rPr>
              <w:t>Swift</w:t>
            </w:r>
            <w:proofErr w:type="spellEnd"/>
            <w:r w:rsidRPr="00A37736">
              <w:rPr>
                <w:rFonts w:ascii="Calibri" w:hAnsi="Calibri" w:cs="Calibri"/>
                <w:color w:val="000000"/>
                <w:sz w:val="16"/>
                <w:szCs w:val="16"/>
              </w:rPr>
              <w:t>)</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4.032,00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13.086</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224,55%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Alimentos, Bebidas y Tabaco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189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Cementos Avellaneda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3.224,00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10.388</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222,21%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Construcción y Productos relacionados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142</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Refineria</w:t>
            </w:r>
            <w:proofErr w:type="spellEnd"/>
            <w:r w:rsidRPr="00A37736">
              <w:rPr>
                <w:rFonts w:ascii="Calibri" w:hAnsi="Calibri" w:cs="Calibri"/>
                <w:color w:val="000000"/>
                <w:sz w:val="16"/>
                <w:szCs w:val="16"/>
              </w:rPr>
              <w:t xml:space="preserve"> del Norte</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4.000,00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12.831</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220,78%</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183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Cartocor</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3.300,00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10.555</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219,85%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Industria Papelera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46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ACINDAR (Grupo </w:t>
            </w:r>
            <w:proofErr w:type="spellStart"/>
            <w:r w:rsidRPr="00A37736">
              <w:rPr>
                <w:rFonts w:ascii="Calibri" w:hAnsi="Calibri" w:cs="Calibri"/>
                <w:color w:val="000000"/>
                <w:sz w:val="16"/>
                <w:szCs w:val="16"/>
              </w:rPr>
              <w:t>ArcelorMittal</w:t>
            </w:r>
            <w:proofErr w:type="spellEnd"/>
            <w:r w:rsidRPr="00A37736">
              <w:rPr>
                <w:rFonts w:ascii="Calibri" w:hAnsi="Calibri" w:cs="Calibri"/>
                <w:color w:val="000000"/>
                <w:sz w:val="16"/>
                <w:szCs w:val="16"/>
              </w:rPr>
              <w:t>)</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11.470,00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36.486</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218,10%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Siderurgia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74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67</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Loma Negra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7.274,00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22.964</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215,70%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Construcción y Productos relacionados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Siderar</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23.563,00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73.858</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213,45%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Siderurgia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193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Pfizer</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3.125,00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9.770</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212,64%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Fabricación de Productos Farmacéuticos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83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74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Obra Social Unión Personal</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6.587,00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20.574</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212,34%</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Servicios sociales y de Salud</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Renault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14.372,00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44.110</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206,92%</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YPF</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143.462,00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435.820</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203,79%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143</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Operadora de </w:t>
            </w:r>
            <w:proofErr w:type="spellStart"/>
            <w:r w:rsidRPr="00A37736">
              <w:rPr>
                <w:rFonts w:ascii="Calibri" w:hAnsi="Calibri" w:cs="Calibri"/>
                <w:color w:val="000000"/>
                <w:sz w:val="16"/>
                <w:szCs w:val="16"/>
              </w:rPr>
              <w:t>Estac</w:t>
            </w:r>
            <w:proofErr w:type="spellEnd"/>
            <w:r w:rsidRPr="00A37736">
              <w:rPr>
                <w:rFonts w:ascii="Calibri" w:hAnsi="Calibri" w:cs="Calibri"/>
                <w:color w:val="000000"/>
                <w:sz w:val="16"/>
                <w:szCs w:val="16"/>
              </w:rPr>
              <w:t>. de Servicios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3.686,00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11.172</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203,09%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Petróleo y derivados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134</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Holcim</w:t>
            </w:r>
            <w:proofErr w:type="spellEnd"/>
            <w:r w:rsidRPr="00A37736">
              <w:rPr>
                <w:rFonts w:ascii="Calibri" w:hAnsi="Calibri" w:cs="Calibri"/>
                <w:color w:val="000000"/>
                <w:sz w:val="16"/>
                <w:szCs w:val="16"/>
              </w:rPr>
              <w:t xml:space="preserve"> (ex Juan </w:t>
            </w:r>
            <w:proofErr w:type="spellStart"/>
            <w:r w:rsidRPr="00A37736">
              <w:rPr>
                <w:rFonts w:ascii="Calibri" w:hAnsi="Calibri" w:cs="Calibri"/>
                <w:color w:val="000000"/>
                <w:sz w:val="16"/>
                <w:szCs w:val="16"/>
              </w:rPr>
              <w:t>Minetti</w:t>
            </w:r>
            <w:proofErr w:type="spellEnd"/>
            <w:r w:rsidRPr="00A37736">
              <w:rPr>
                <w:rFonts w:ascii="Calibri" w:hAnsi="Calibri" w:cs="Calibri"/>
                <w:color w:val="000000"/>
                <w:sz w:val="16"/>
                <w:szCs w:val="16"/>
              </w:rPr>
              <w:t>)</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4.283,00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12.908</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201,38%</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Construcción y Productos relacionados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30</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24</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Cervecería y </w:t>
            </w:r>
            <w:proofErr w:type="spellStart"/>
            <w:r w:rsidRPr="00A37736">
              <w:rPr>
                <w:rFonts w:ascii="Calibri" w:hAnsi="Calibri" w:cs="Calibri"/>
                <w:color w:val="000000"/>
                <w:sz w:val="16"/>
                <w:szCs w:val="16"/>
              </w:rPr>
              <w:t>Maltería</w:t>
            </w:r>
            <w:proofErr w:type="spellEnd"/>
            <w:r w:rsidRPr="00A37736">
              <w:rPr>
                <w:rFonts w:ascii="Calibri" w:hAnsi="Calibri" w:cs="Calibri"/>
                <w:color w:val="000000"/>
                <w:sz w:val="16"/>
                <w:szCs w:val="16"/>
              </w:rPr>
              <w:t xml:space="preserve"> Quilmes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19.071,00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57.101</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199,41%</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Alimentos, Bebidas y Tabaco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27</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21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Swiss</w:t>
            </w:r>
            <w:proofErr w:type="spellEnd"/>
            <w:r w:rsidRPr="00A37736">
              <w:rPr>
                <w:rFonts w:ascii="Calibri" w:hAnsi="Calibri" w:cs="Calibri"/>
                <w:color w:val="000000"/>
                <w:sz w:val="16"/>
                <w:szCs w:val="16"/>
              </w:rPr>
              <w:t xml:space="preserve"> </w:t>
            </w:r>
            <w:proofErr w:type="spellStart"/>
            <w:r w:rsidRPr="00A37736">
              <w:rPr>
                <w:rFonts w:ascii="Calibri" w:hAnsi="Calibri" w:cs="Calibri"/>
                <w:color w:val="000000"/>
                <w:sz w:val="16"/>
                <w:szCs w:val="16"/>
              </w:rPr>
              <w:t>Medical</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20.227,00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60.000</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196,63%</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Servicios sociales y de Salud</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64</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123</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119</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Molfino</w:t>
            </w:r>
            <w:proofErr w:type="spellEnd"/>
            <w:r w:rsidRPr="00A37736">
              <w:rPr>
                <w:rFonts w:ascii="Calibri" w:hAnsi="Calibri" w:cs="Calibri"/>
                <w:color w:val="000000"/>
                <w:sz w:val="16"/>
                <w:szCs w:val="16"/>
              </w:rPr>
              <w:t xml:space="preserve"> Hermanos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4.524,00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13.418</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196,60%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Alimentos, Bebidas y Tabaco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65</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177</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proofErr w:type="spellStart"/>
            <w:r w:rsidRPr="00A37736">
              <w:rPr>
                <w:rFonts w:ascii="Calibri" w:hAnsi="Calibri" w:cs="Calibri"/>
                <w:color w:val="000000"/>
                <w:sz w:val="16"/>
                <w:szCs w:val="16"/>
              </w:rPr>
              <w:t>Accenture</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3.403,00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10.025</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194,59%</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Servicios Empresariales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66</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106</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LAN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5.200,00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15.275</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193,75%</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Transporte</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67</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109</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IBM</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5.063,00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14.450</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185,40%</w:t>
            </w:r>
          </w:p>
        </w:tc>
        <w:tc>
          <w:tcPr>
            <w:tcW w:w="1843"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Comercio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68</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35</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PSA Peugeot </w:t>
            </w:r>
            <w:proofErr w:type="spellStart"/>
            <w:r w:rsidRPr="00A37736">
              <w:rPr>
                <w:rFonts w:ascii="Calibri" w:hAnsi="Calibri" w:cs="Calibri"/>
                <w:color w:val="000000"/>
                <w:sz w:val="16"/>
                <w:szCs w:val="16"/>
              </w:rPr>
              <w:t>Citroen</w:t>
            </w:r>
            <w:proofErr w:type="spellEnd"/>
            <w:r w:rsidRPr="00A37736">
              <w:rPr>
                <w:rFonts w:ascii="Calibri" w:hAnsi="Calibri" w:cs="Calibri"/>
                <w:color w:val="000000"/>
                <w:sz w:val="16"/>
                <w:szCs w:val="16"/>
              </w:rPr>
              <w:t xml:space="preserve"> ARG.</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16.516,00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47.101</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185,18%</w:t>
            </w:r>
          </w:p>
        </w:tc>
        <w:tc>
          <w:tcPr>
            <w:tcW w:w="1843" w:type="dxa"/>
            <w:tcBorders>
              <w:top w:val="nil"/>
              <w:left w:val="nil"/>
              <w:bottom w:val="nil"/>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Automotriz</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69</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128</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128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Basf Argentina</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4.450,00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12.626</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183,73%</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Química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70</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181</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171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Austral </w:t>
            </w:r>
            <w:proofErr w:type="spellStart"/>
            <w:r w:rsidRPr="00A37736">
              <w:rPr>
                <w:rFonts w:ascii="Calibri" w:hAnsi="Calibri" w:cs="Calibri"/>
                <w:color w:val="000000"/>
                <w:sz w:val="16"/>
                <w:szCs w:val="16"/>
              </w:rPr>
              <w:t>Lineas</w:t>
            </w:r>
            <w:proofErr w:type="spellEnd"/>
            <w:r w:rsidRPr="00A37736">
              <w:rPr>
                <w:rFonts w:ascii="Calibri" w:hAnsi="Calibri" w:cs="Calibri"/>
                <w:color w:val="000000"/>
                <w:sz w:val="16"/>
                <w:szCs w:val="16"/>
              </w:rPr>
              <w:t xml:space="preserve"> Aéreas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3.360,00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9.395</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179,61%</w:t>
            </w:r>
          </w:p>
        </w:tc>
        <w:tc>
          <w:tcPr>
            <w:tcW w:w="1843" w:type="dxa"/>
            <w:tcBorders>
              <w:top w:val="nil"/>
              <w:left w:val="nil"/>
              <w:bottom w:val="nil"/>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Transporte</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71</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165</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158</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Benito Roggio e Hijos</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3.600,00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10.065</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179,58%</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Construcción y Productos relacionados</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72</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152</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146</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 xml:space="preserve">Grupo </w:t>
            </w:r>
            <w:proofErr w:type="spellStart"/>
            <w:r w:rsidRPr="00A37736">
              <w:rPr>
                <w:rFonts w:ascii="Calibri" w:hAnsi="Calibri" w:cs="Calibri"/>
                <w:color w:val="000000"/>
                <w:sz w:val="16"/>
                <w:szCs w:val="16"/>
              </w:rPr>
              <w:t>Peñaflor</w:t>
            </w:r>
            <w:proofErr w:type="spellEnd"/>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3.943,00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10.900</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176,44%</w:t>
            </w:r>
          </w:p>
        </w:tc>
        <w:tc>
          <w:tcPr>
            <w:tcW w:w="1843" w:type="dxa"/>
            <w:tcBorders>
              <w:top w:val="nil"/>
              <w:left w:val="nil"/>
              <w:bottom w:val="nil"/>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Alimentos, Bebidas y Tabaco</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nil"/>
              <w:left w:val="single" w:sz="8" w:space="0" w:color="auto"/>
              <w:bottom w:val="single" w:sz="4"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73</w:t>
            </w:r>
          </w:p>
        </w:tc>
        <w:tc>
          <w:tcPr>
            <w:tcW w:w="515"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199</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color w:val="000000"/>
                <w:sz w:val="16"/>
                <w:szCs w:val="16"/>
              </w:rPr>
            </w:pPr>
            <w:r w:rsidRPr="00A37736">
              <w:rPr>
                <w:rFonts w:ascii="Calibri" w:hAnsi="Calibri" w:cs="Calibri"/>
                <w:color w:val="000000"/>
                <w:sz w:val="16"/>
                <w:szCs w:val="16"/>
              </w:rPr>
              <w:t>191</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ACERBRAG</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2.997,00</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8.265</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175,78%</w:t>
            </w:r>
          </w:p>
        </w:tc>
        <w:tc>
          <w:tcPr>
            <w:tcW w:w="1843" w:type="dxa"/>
            <w:tcBorders>
              <w:top w:val="single" w:sz="8" w:space="0" w:color="auto"/>
              <w:left w:val="nil"/>
              <w:bottom w:val="single" w:sz="4"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color w:val="000000"/>
                <w:sz w:val="16"/>
                <w:szCs w:val="16"/>
              </w:rPr>
            </w:pPr>
            <w:r w:rsidRPr="00A37736">
              <w:rPr>
                <w:rFonts w:ascii="Calibri" w:hAnsi="Calibri" w:cs="Calibri"/>
                <w:color w:val="000000"/>
                <w:sz w:val="16"/>
                <w:szCs w:val="16"/>
              </w:rPr>
              <w:t>Siderurgia</w:t>
            </w:r>
          </w:p>
        </w:tc>
        <w:tc>
          <w:tcPr>
            <w:tcW w:w="2062" w:type="dxa"/>
            <w:vAlign w:val="center"/>
            <w:hideMark/>
          </w:tcPr>
          <w:p w:rsidR="00E96398" w:rsidRDefault="00E96398" w:rsidP="00714463">
            <w:pPr>
              <w:rPr>
                <w:sz w:val="20"/>
                <w:szCs w:val="20"/>
              </w:rPr>
            </w:pPr>
          </w:p>
        </w:tc>
      </w:tr>
      <w:tr w:rsidR="00E96398" w:rsidTr="00714463">
        <w:trPr>
          <w:trHeight w:val="340"/>
        </w:trPr>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98" w:rsidRPr="00A37736" w:rsidRDefault="00E96398" w:rsidP="00714463">
            <w:pPr>
              <w:rPr>
                <w:rFonts w:ascii="Calibri" w:hAnsi="Calibri" w:cs="Calibri"/>
                <w:color w:val="000000"/>
                <w:sz w:val="16"/>
                <w:szCs w:val="16"/>
              </w:rPr>
            </w:pPr>
          </w:p>
        </w:tc>
        <w:tc>
          <w:tcPr>
            <w:tcW w:w="515" w:type="dxa"/>
            <w:tcBorders>
              <w:top w:val="nil"/>
              <w:left w:val="single" w:sz="4" w:space="0" w:color="auto"/>
              <w:bottom w:val="single" w:sz="8" w:space="0" w:color="auto"/>
              <w:right w:val="single" w:sz="8" w:space="0" w:color="auto"/>
            </w:tcBorders>
            <w:shd w:val="clear" w:color="000000" w:fill="FFFFFF"/>
            <w:noWrap/>
            <w:vAlign w:val="center"/>
            <w:hideMark/>
          </w:tcPr>
          <w:p w:rsidR="00E96398" w:rsidRPr="00A37736" w:rsidRDefault="00E96398" w:rsidP="00714463">
            <w:pPr>
              <w:jc w:val="center"/>
              <w:rPr>
                <w:rFonts w:ascii="Calibri" w:hAnsi="Calibri" w:cs="Calibri"/>
                <w:b/>
                <w:bCs/>
                <w:color w:val="000000"/>
                <w:sz w:val="16"/>
                <w:szCs w:val="16"/>
              </w:rPr>
            </w:pPr>
            <w:r w:rsidRPr="00A37736">
              <w:rPr>
                <w:rFonts w:ascii="Calibri" w:hAnsi="Calibri" w:cs="Calibri"/>
                <w:b/>
                <w:bCs/>
                <w:color w:val="000000"/>
                <w:sz w:val="16"/>
                <w:szCs w:val="16"/>
              </w:rPr>
              <w:t> </w:t>
            </w:r>
          </w:p>
        </w:tc>
        <w:tc>
          <w:tcPr>
            <w:tcW w:w="515"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center"/>
              <w:rPr>
                <w:rFonts w:ascii="Calibri" w:hAnsi="Calibri" w:cs="Calibri"/>
                <w:b/>
                <w:bCs/>
                <w:color w:val="000000"/>
                <w:sz w:val="16"/>
                <w:szCs w:val="16"/>
              </w:rPr>
            </w:pPr>
            <w:r w:rsidRPr="00A37736">
              <w:rPr>
                <w:rFonts w:ascii="Calibri" w:hAnsi="Calibri" w:cs="Calibri"/>
                <w:b/>
                <w:bCs/>
                <w:color w:val="000000"/>
                <w:sz w:val="16"/>
                <w:szCs w:val="16"/>
              </w:rPr>
              <w:t> </w:t>
            </w:r>
          </w:p>
        </w:tc>
        <w:tc>
          <w:tcPr>
            <w:tcW w:w="2416"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rPr>
                <w:rFonts w:ascii="Calibri" w:hAnsi="Calibri" w:cs="Calibri"/>
                <w:b/>
                <w:bCs/>
                <w:color w:val="000000"/>
                <w:sz w:val="16"/>
                <w:szCs w:val="16"/>
              </w:rPr>
            </w:pPr>
            <w:r w:rsidRPr="00A37736">
              <w:rPr>
                <w:rFonts w:ascii="Calibri" w:hAnsi="Calibri" w:cs="Calibri"/>
                <w:b/>
                <w:bCs/>
                <w:color w:val="000000"/>
                <w:sz w:val="16"/>
                <w:szCs w:val="16"/>
              </w:rPr>
              <w:t xml:space="preserve">Total </w:t>
            </w:r>
          </w:p>
        </w:tc>
        <w:tc>
          <w:tcPr>
            <w:tcW w:w="941"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b/>
                <w:bCs/>
                <w:color w:val="000000"/>
                <w:sz w:val="16"/>
                <w:szCs w:val="16"/>
              </w:rPr>
            </w:pPr>
            <w:r w:rsidRPr="00A37736">
              <w:rPr>
                <w:rFonts w:ascii="Calibri" w:hAnsi="Calibri" w:cs="Calibri"/>
                <w:b/>
                <w:bCs/>
                <w:color w:val="000000"/>
                <w:sz w:val="16"/>
                <w:szCs w:val="16"/>
              </w:rPr>
              <w:t xml:space="preserve">$ 804.330 </w:t>
            </w:r>
          </w:p>
        </w:tc>
        <w:tc>
          <w:tcPr>
            <w:tcW w:w="987" w:type="dxa"/>
            <w:tcBorders>
              <w:top w:val="nil"/>
              <w:left w:val="nil"/>
              <w:bottom w:val="single" w:sz="8" w:space="0" w:color="auto"/>
              <w:right w:val="single" w:sz="8" w:space="0" w:color="auto"/>
            </w:tcBorders>
            <w:shd w:val="clear" w:color="000000" w:fill="FFFFFF"/>
            <w:vAlign w:val="center"/>
            <w:hideMark/>
          </w:tcPr>
          <w:p w:rsidR="00E96398" w:rsidRPr="00A37736" w:rsidRDefault="00E96398" w:rsidP="00714463">
            <w:pPr>
              <w:jc w:val="right"/>
              <w:rPr>
                <w:rFonts w:ascii="Calibri" w:hAnsi="Calibri" w:cs="Calibri"/>
                <w:b/>
                <w:bCs/>
                <w:color w:val="000000"/>
                <w:sz w:val="16"/>
                <w:szCs w:val="16"/>
              </w:rPr>
            </w:pPr>
            <w:r w:rsidRPr="00A37736">
              <w:rPr>
                <w:rFonts w:ascii="Calibri" w:hAnsi="Calibri" w:cs="Calibri"/>
                <w:b/>
                <w:bCs/>
                <w:color w:val="000000"/>
                <w:sz w:val="16"/>
                <w:szCs w:val="16"/>
              </w:rPr>
              <w:t xml:space="preserve">$3.614.962 </w:t>
            </w:r>
          </w:p>
        </w:tc>
        <w:tc>
          <w:tcPr>
            <w:tcW w:w="1027" w:type="dxa"/>
            <w:tcBorders>
              <w:top w:val="nil"/>
              <w:left w:val="nil"/>
              <w:bottom w:val="single" w:sz="8" w:space="0" w:color="auto"/>
              <w:right w:val="single" w:sz="8" w:space="0" w:color="auto"/>
            </w:tcBorders>
            <w:shd w:val="clear" w:color="000000" w:fill="FFFFFF"/>
            <w:noWrap/>
            <w:vAlign w:val="center"/>
            <w:hideMark/>
          </w:tcPr>
          <w:p w:rsidR="00E96398" w:rsidRPr="00A37736" w:rsidRDefault="00E96398" w:rsidP="00714463">
            <w:pPr>
              <w:jc w:val="right"/>
              <w:rPr>
                <w:rFonts w:ascii="Calibri" w:hAnsi="Calibri" w:cs="Calibri"/>
                <w:color w:val="000000"/>
                <w:sz w:val="16"/>
                <w:szCs w:val="16"/>
              </w:rPr>
            </w:pPr>
            <w:r w:rsidRPr="00A37736">
              <w:rPr>
                <w:rFonts w:ascii="Calibri" w:hAnsi="Calibri" w:cs="Calibri"/>
                <w:color w:val="000000"/>
                <w:sz w:val="16"/>
                <w:szCs w:val="16"/>
              </w:rPr>
              <w:t>349,44%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98" w:rsidRPr="00A37736" w:rsidRDefault="00E96398" w:rsidP="00714463">
            <w:pPr>
              <w:rPr>
                <w:rFonts w:ascii="Calibri" w:hAnsi="Calibri" w:cs="Calibri"/>
                <w:color w:val="000000"/>
                <w:sz w:val="16"/>
                <w:szCs w:val="16"/>
              </w:rPr>
            </w:pPr>
          </w:p>
        </w:tc>
        <w:tc>
          <w:tcPr>
            <w:tcW w:w="2062" w:type="dxa"/>
            <w:tcBorders>
              <w:left w:val="single" w:sz="4" w:space="0" w:color="auto"/>
            </w:tcBorders>
            <w:vAlign w:val="center"/>
            <w:hideMark/>
          </w:tcPr>
          <w:p w:rsidR="00E96398" w:rsidRDefault="00E96398" w:rsidP="00714463">
            <w:pPr>
              <w:rPr>
                <w:sz w:val="20"/>
                <w:szCs w:val="20"/>
              </w:rPr>
            </w:pPr>
          </w:p>
        </w:tc>
      </w:tr>
    </w:tbl>
    <w:p w:rsidR="00E96398" w:rsidRPr="001D55A7" w:rsidRDefault="00E96398" w:rsidP="00E96398">
      <w:pPr>
        <w:jc w:val="center"/>
        <w:rPr>
          <w:sz w:val="18"/>
          <w:szCs w:val="18"/>
          <w:lang w:val="es-ES"/>
        </w:rPr>
      </w:pPr>
      <w:r w:rsidRPr="001D55A7">
        <w:rPr>
          <w:sz w:val="18"/>
          <w:szCs w:val="18"/>
          <w:lang w:val="es-ES"/>
        </w:rPr>
        <w:t>Fuente: Elaboración Propia en base a datos oficiales y Revista Mercado.</w:t>
      </w:r>
    </w:p>
    <w:p w:rsidR="00E96398" w:rsidRPr="001D55A7" w:rsidRDefault="00E96398" w:rsidP="00E96398">
      <w:pPr>
        <w:rPr>
          <w:sz w:val="18"/>
          <w:szCs w:val="18"/>
          <w:lang w:val="es-ES"/>
        </w:rPr>
      </w:pPr>
    </w:p>
    <w:p w:rsidR="004E7B41" w:rsidRDefault="004E7B41" w:rsidP="00E96398">
      <w:pPr>
        <w:rPr>
          <w:b/>
          <w:bCs/>
          <w:lang w:val="es-ES"/>
        </w:rPr>
      </w:pPr>
    </w:p>
    <w:p w:rsidR="007D3C81" w:rsidRDefault="007D3C81" w:rsidP="00E96398">
      <w:pPr>
        <w:rPr>
          <w:b/>
          <w:bCs/>
          <w:lang w:val="es-ES"/>
        </w:rPr>
      </w:pPr>
    </w:p>
    <w:p w:rsidR="007D3C81" w:rsidRPr="001B36BE" w:rsidRDefault="007D3C81" w:rsidP="007D3C81">
      <w:pPr>
        <w:jc w:val="both"/>
        <w:rPr>
          <w:rFonts w:cstheme="minorHAnsi"/>
          <w:b/>
          <w:sz w:val="22"/>
          <w:szCs w:val="22"/>
          <w:lang w:val="es-ES"/>
        </w:rPr>
      </w:pPr>
      <w:r w:rsidRPr="001B36BE">
        <w:rPr>
          <w:rFonts w:cstheme="minorHAnsi"/>
          <w:b/>
          <w:sz w:val="22"/>
          <w:szCs w:val="22"/>
          <w:lang w:val="es-ES"/>
        </w:rPr>
        <w:t xml:space="preserve">Cuadro </w:t>
      </w:r>
      <w:r>
        <w:rPr>
          <w:rFonts w:cstheme="minorHAnsi"/>
          <w:b/>
          <w:sz w:val="22"/>
          <w:szCs w:val="22"/>
          <w:lang w:val="es-ES"/>
        </w:rPr>
        <w:t>2</w:t>
      </w:r>
      <w:r w:rsidRPr="001B36BE">
        <w:rPr>
          <w:rFonts w:cstheme="minorHAnsi"/>
          <w:b/>
          <w:sz w:val="22"/>
          <w:szCs w:val="22"/>
          <w:lang w:val="es-ES"/>
        </w:rPr>
        <w:t>. Empresas locales y extranjeras que no eran parte de las 200 en 2015</w:t>
      </w:r>
      <w:r>
        <w:rPr>
          <w:rFonts w:cstheme="minorHAnsi"/>
          <w:b/>
          <w:sz w:val="22"/>
          <w:szCs w:val="22"/>
          <w:lang w:val="es-ES"/>
        </w:rPr>
        <w:t xml:space="preserve">. Ventas </w:t>
      </w:r>
      <w:r w:rsidRPr="001B36BE">
        <w:rPr>
          <w:rFonts w:cstheme="minorHAnsi"/>
          <w:b/>
          <w:sz w:val="22"/>
          <w:szCs w:val="22"/>
          <w:lang w:val="es-ES"/>
        </w:rPr>
        <w:t xml:space="preserve"> y % de ventas sobre el total</w:t>
      </w:r>
    </w:p>
    <w:tbl>
      <w:tblPr>
        <w:tblW w:w="4257" w:type="pct"/>
        <w:jc w:val="center"/>
        <w:tblLayout w:type="fixed"/>
        <w:tblCellMar>
          <w:left w:w="70" w:type="dxa"/>
          <w:right w:w="70" w:type="dxa"/>
        </w:tblCellMar>
        <w:tblLook w:val="04A0"/>
      </w:tblPr>
      <w:tblGrid>
        <w:gridCol w:w="381"/>
        <w:gridCol w:w="2552"/>
        <w:gridCol w:w="3075"/>
        <w:gridCol w:w="1467"/>
      </w:tblGrid>
      <w:tr w:rsidR="007D3C81" w:rsidRPr="00CA62C4" w:rsidTr="00005278">
        <w:trPr>
          <w:trHeight w:val="600"/>
          <w:jc w:val="center"/>
        </w:trPr>
        <w:tc>
          <w:tcPr>
            <w:tcW w:w="1962" w:type="pct"/>
            <w:gridSpan w:val="2"/>
            <w:tcBorders>
              <w:top w:val="single" w:sz="4" w:space="0" w:color="auto"/>
              <w:left w:val="single" w:sz="4" w:space="0" w:color="auto"/>
              <w:bottom w:val="single" w:sz="4" w:space="0" w:color="auto"/>
              <w:right w:val="single" w:sz="4" w:space="0" w:color="auto"/>
            </w:tcBorders>
            <w:shd w:val="clear" w:color="000000" w:fill="5B9BD5"/>
            <w:vAlign w:val="center"/>
            <w:hideMark/>
          </w:tcPr>
          <w:p w:rsidR="007D3C81" w:rsidRPr="00CA62C4" w:rsidRDefault="007D3C81" w:rsidP="00005278">
            <w:pPr>
              <w:jc w:val="center"/>
              <w:rPr>
                <w:rFonts w:cstheme="minorHAnsi"/>
                <w:b/>
                <w:bCs/>
                <w:color w:val="FFFFFF"/>
                <w:sz w:val="20"/>
                <w:szCs w:val="20"/>
                <w:lang w:eastAsia="es-AR"/>
              </w:rPr>
            </w:pPr>
            <w:r w:rsidRPr="00CA62C4">
              <w:rPr>
                <w:rFonts w:cstheme="minorHAnsi"/>
                <w:b/>
                <w:bCs/>
                <w:color w:val="FFFFFF"/>
                <w:sz w:val="20"/>
                <w:szCs w:val="20"/>
                <w:lang w:eastAsia="es-AR"/>
              </w:rPr>
              <w:t>Ranking IPyPP/Mercado 2018</w:t>
            </w:r>
          </w:p>
        </w:tc>
        <w:tc>
          <w:tcPr>
            <w:tcW w:w="2057" w:type="pct"/>
            <w:tcBorders>
              <w:top w:val="single" w:sz="4" w:space="0" w:color="auto"/>
              <w:left w:val="nil"/>
              <w:bottom w:val="single" w:sz="4" w:space="0" w:color="auto"/>
              <w:right w:val="single" w:sz="4" w:space="0" w:color="auto"/>
            </w:tcBorders>
            <w:shd w:val="clear" w:color="000000" w:fill="5B9BD5"/>
            <w:vAlign w:val="center"/>
            <w:hideMark/>
          </w:tcPr>
          <w:p w:rsidR="007D3C81" w:rsidRPr="00CA62C4" w:rsidRDefault="007D3C81" w:rsidP="00005278">
            <w:pPr>
              <w:jc w:val="center"/>
              <w:rPr>
                <w:rFonts w:cstheme="minorHAnsi"/>
                <w:b/>
                <w:bCs/>
                <w:color w:val="FFFFFF"/>
                <w:sz w:val="20"/>
                <w:szCs w:val="20"/>
                <w:lang w:eastAsia="es-AR"/>
              </w:rPr>
            </w:pPr>
            <w:r w:rsidRPr="00CA62C4">
              <w:rPr>
                <w:rFonts w:cstheme="minorHAnsi"/>
                <w:b/>
                <w:bCs/>
                <w:color w:val="FFFFFF"/>
                <w:sz w:val="20"/>
                <w:szCs w:val="20"/>
                <w:lang w:eastAsia="es-AR"/>
              </w:rPr>
              <w:t xml:space="preserve"> Ventas 2018 (en millones de pesos) </w:t>
            </w:r>
          </w:p>
        </w:tc>
        <w:tc>
          <w:tcPr>
            <w:tcW w:w="981" w:type="pct"/>
            <w:tcBorders>
              <w:top w:val="single" w:sz="4" w:space="0" w:color="auto"/>
              <w:left w:val="nil"/>
              <w:bottom w:val="single" w:sz="4" w:space="0" w:color="auto"/>
              <w:right w:val="single" w:sz="4" w:space="0" w:color="auto"/>
            </w:tcBorders>
            <w:shd w:val="clear" w:color="000000" w:fill="5B9BD5"/>
            <w:vAlign w:val="center"/>
            <w:hideMark/>
          </w:tcPr>
          <w:p w:rsidR="007D3C81" w:rsidRPr="00CA62C4" w:rsidRDefault="007D3C81" w:rsidP="00005278">
            <w:pPr>
              <w:jc w:val="center"/>
              <w:rPr>
                <w:rFonts w:cstheme="minorHAnsi"/>
                <w:b/>
                <w:bCs/>
                <w:color w:val="FFFFFF"/>
                <w:sz w:val="20"/>
                <w:szCs w:val="20"/>
                <w:lang w:eastAsia="es-AR"/>
              </w:rPr>
            </w:pPr>
            <w:r w:rsidRPr="00CA62C4">
              <w:rPr>
                <w:rFonts w:cstheme="minorHAnsi"/>
                <w:b/>
                <w:bCs/>
                <w:color w:val="FFFFFF"/>
                <w:sz w:val="20"/>
                <w:szCs w:val="20"/>
                <w:lang w:eastAsia="es-AR"/>
              </w:rPr>
              <w:t>Tipo de empresa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Distrilec</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44.078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3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Molino Agro</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31.126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Metrogas</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25.195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Geopark</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22.664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5</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Minera Andina del Sol</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20.500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6</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Naturgy</w:t>
            </w:r>
            <w:proofErr w:type="spellEnd"/>
            <w:r w:rsidRPr="00CA62C4">
              <w:rPr>
                <w:rFonts w:cstheme="minorHAnsi"/>
                <w:color w:val="000000"/>
                <w:sz w:val="20"/>
                <w:szCs w:val="20"/>
                <w:lang w:eastAsia="es-AR"/>
              </w:rPr>
              <w:t xml:space="preserve"> (Ex Gas Natural Fenosa)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20.359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7</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AYSA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19.793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8</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Camuzzi Gas Pampeana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19.138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9</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Correo Oficial de la Rep. Argentina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18.101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10</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Compañías Asociadas Petroleras</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17.049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11</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Nissan Argentina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16.000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12</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Petroquímica Cuyo</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14.350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13</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Serv</w:t>
            </w:r>
            <w:proofErr w:type="spellEnd"/>
            <w:r w:rsidRPr="00CA62C4">
              <w:rPr>
                <w:rFonts w:cstheme="minorHAnsi"/>
                <w:color w:val="000000"/>
                <w:sz w:val="20"/>
                <w:szCs w:val="20"/>
                <w:lang w:eastAsia="es-AR"/>
              </w:rPr>
              <w:t xml:space="preserve">. Y productos para Bebidas </w:t>
            </w:r>
            <w:proofErr w:type="spellStart"/>
            <w:r w:rsidRPr="00CA62C4">
              <w:rPr>
                <w:rFonts w:cstheme="minorHAnsi"/>
                <w:color w:val="000000"/>
                <w:sz w:val="20"/>
                <w:szCs w:val="20"/>
                <w:lang w:eastAsia="es-AR"/>
              </w:rPr>
              <w:t>refres</w:t>
            </w:r>
            <w:proofErr w:type="spellEnd"/>
            <w:r w:rsidRPr="00CA62C4">
              <w:rPr>
                <w:rFonts w:cstheme="minorHAnsi"/>
                <w:color w:val="000000"/>
                <w:sz w:val="20"/>
                <w:szCs w:val="20"/>
                <w:lang w:eastAsia="es-AR"/>
              </w:rPr>
              <w:t xml:space="preserve"> (ex coca cola </w:t>
            </w:r>
            <w:proofErr w:type="spellStart"/>
            <w:r w:rsidRPr="00CA62C4">
              <w:rPr>
                <w:rFonts w:cstheme="minorHAnsi"/>
                <w:color w:val="000000"/>
                <w:sz w:val="20"/>
                <w:szCs w:val="20"/>
                <w:lang w:eastAsia="es-AR"/>
              </w:rPr>
              <w:t>arg</w:t>
            </w:r>
            <w:proofErr w:type="spellEnd"/>
            <w:r w:rsidRPr="00CA62C4">
              <w:rPr>
                <w:rFonts w:cstheme="minorHAnsi"/>
                <w:color w:val="000000"/>
                <w:sz w:val="20"/>
                <w:szCs w:val="20"/>
                <w:lang w:eastAsia="es-AR"/>
              </w:rPr>
              <w:t>)</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13.200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14</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Maycar</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12.802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15</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Trafigura</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12.556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16</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Camuzzi gas del sur</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11.953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17</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Autoservicio Mayorista </w:t>
            </w:r>
            <w:proofErr w:type="spellStart"/>
            <w:r w:rsidRPr="00CA62C4">
              <w:rPr>
                <w:rFonts w:cstheme="minorHAnsi"/>
                <w:color w:val="000000"/>
                <w:sz w:val="20"/>
                <w:szCs w:val="20"/>
                <w:lang w:eastAsia="es-AR"/>
              </w:rPr>
              <w:t>Diarco</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11.883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18</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Mutual </w:t>
            </w:r>
            <w:proofErr w:type="spellStart"/>
            <w:r w:rsidRPr="00CA62C4">
              <w:rPr>
                <w:rFonts w:cstheme="minorHAnsi"/>
                <w:color w:val="000000"/>
                <w:sz w:val="20"/>
                <w:szCs w:val="20"/>
                <w:lang w:eastAsia="es-AR"/>
              </w:rPr>
              <w:t>Sancor</w:t>
            </w:r>
            <w:proofErr w:type="spellEnd"/>
            <w:r w:rsidRPr="00CA62C4">
              <w:rPr>
                <w:rFonts w:cstheme="minorHAnsi"/>
                <w:color w:val="000000"/>
                <w:sz w:val="20"/>
                <w:szCs w:val="20"/>
                <w:lang w:eastAsia="es-AR"/>
              </w:rPr>
              <w:t xml:space="preserve"> Salud</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11.703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19</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Emp</w:t>
            </w:r>
            <w:proofErr w:type="spellEnd"/>
            <w:r w:rsidRPr="00CA62C4">
              <w:rPr>
                <w:rFonts w:cstheme="minorHAnsi"/>
                <w:color w:val="000000"/>
                <w:sz w:val="20"/>
                <w:szCs w:val="20"/>
                <w:lang w:eastAsia="es-AR"/>
              </w:rPr>
              <w:t xml:space="preserve">. </w:t>
            </w:r>
            <w:proofErr w:type="spellStart"/>
            <w:r w:rsidRPr="00CA62C4">
              <w:rPr>
                <w:rFonts w:cstheme="minorHAnsi"/>
                <w:color w:val="000000"/>
                <w:sz w:val="20"/>
                <w:szCs w:val="20"/>
                <w:lang w:eastAsia="es-AR"/>
              </w:rPr>
              <w:t>Dist</w:t>
            </w:r>
            <w:proofErr w:type="spellEnd"/>
            <w:r w:rsidRPr="00CA62C4">
              <w:rPr>
                <w:rFonts w:cstheme="minorHAnsi"/>
                <w:color w:val="000000"/>
                <w:sz w:val="20"/>
                <w:szCs w:val="20"/>
                <w:lang w:eastAsia="es-AR"/>
              </w:rPr>
              <w:t xml:space="preserve">. </w:t>
            </w:r>
            <w:proofErr w:type="spellStart"/>
            <w:r w:rsidRPr="00CA62C4">
              <w:rPr>
                <w:rFonts w:cstheme="minorHAnsi"/>
                <w:color w:val="000000"/>
                <w:sz w:val="20"/>
                <w:szCs w:val="20"/>
                <w:lang w:eastAsia="es-AR"/>
              </w:rPr>
              <w:t>Eléct</w:t>
            </w:r>
            <w:proofErr w:type="spellEnd"/>
            <w:r w:rsidRPr="00CA62C4">
              <w:rPr>
                <w:rFonts w:cstheme="minorHAnsi"/>
                <w:color w:val="000000"/>
                <w:sz w:val="20"/>
                <w:szCs w:val="20"/>
                <w:lang w:eastAsia="es-AR"/>
              </w:rPr>
              <w:t xml:space="preserve">. De Tucumán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11.543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20</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Laboratorios Raffo</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11.286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21</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Natura Cosméticos</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10.800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22</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Nutrien</w:t>
            </w:r>
            <w:proofErr w:type="spellEnd"/>
            <w:r w:rsidRPr="00CA62C4">
              <w:rPr>
                <w:rFonts w:cstheme="minorHAnsi"/>
                <w:color w:val="000000"/>
                <w:sz w:val="20"/>
                <w:szCs w:val="20"/>
                <w:lang w:eastAsia="es-AR"/>
              </w:rPr>
              <w:t xml:space="preserve"> AG </w:t>
            </w:r>
            <w:proofErr w:type="spellStart"/>
            <w:r w:rsidRPr="00CA62C4">
              <w:rPr>
                <w:rFonts w:cstheme="minorHAnsi"/>
                <w:color w:val="000000"/>
                <w:sz w:val="20"/>
                <w:szCs w:val="20"/>
                <w:lang w:eastAsia="es-AR"/>
              </w:rPr>
              <w:t>Solutions</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10.633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23</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Renova</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10.515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24</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Grupo </w:t>
            </w:r>
            <w:proofErr w:type="spellStart"/>
            <w:r w:rsidRPr="00CA62C4">
              <w:rPr>
                <w:rFonts w:cstheme="minorHAnsi"/>
                <w:color w:val="000000"/>
                <w:sz w:val="20"/>
                <w:szCs w:val="20"/>
                <w:lang w:eastAsia="es-AR"/>
              </w:rPr>
              <w:t>Codere</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10.500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25</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Papelera del Plata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10.229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26</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Sistemas Globales AR20 (</w:t>
            </w:r>
            <w:proofErr w:type="spellStart"/>
            <w:r w:rsidRPr="00CA62C4">
              <w:rPr>
                <w:rFonts w:cstheme="minorHAnsi"/>
                <w:color w:val="000000"/>
                <w:sz w:val="20"/>
                <w:szCs w:val="20"/>
                <w:lang w:eastAsia="es-AR"/>
              </w:rPr>
              <w:t>Globant</w:t>
            </w:r>
            <w:proofErr w:type="spellEnd"/>
            <w:r w:rsidRPr="00CA62C4">
              <w:rPr>
                <w:rFonts w:cstheme="minorHAnsi"/>
                <w:color w:val="000000"/>
                <w:sz w:val="20"/>
                <w:szCs w:val="20"/>
                <w:lang w:eastAsia="es-AR"/>
              </w:rPr>
              <w:t>)</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10.058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27</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Coop</w:t>
            </w:r>
            <w:proofErr w:type="spellEnd"/>
            <w:r w:rsidRPr="00CA62C4">
              <w:rPr>
                <w:rFonts w:cstheme="minorHAnsi"/>
                <w:color w:val="000000"/>
                <w:sz w:val="20"/>
                <w:szCs w:val="20"/>
                <w:lang w:eastAsia="es-AR"/>
              </w:rPr>
              <w:t xml:space="preserve">. Obrera Ltda. De </w:t>
            </w:r>
            <w:proofErr w:type="spellStart"/>
            <w:r w:rsidRPr="00CA62C4">
              <w:rPr>
                <w:rFonts w:cstheme="minorHAnsi"/>
                <w:color w:val="000000"/>
                <w:sz w:val="20"/>
                <w:szCs w:val="20"/>
                <w:lang w:eastAsia="es-AR"/>
              </w:rPr>
              <w:t>Cons</w:t>
            </w:r>
            <w:proofErr w:type="spellEnd"/>
            <w:r w:rsidRPr="00CA62C4">
              <w:rPr>
                <w:rFonts w:cstheme="minorHAnsi"/>
                <w:color w:val="000000"/>
                <w:sz w:val="20"/>
                <w:szCs w:val="20"/>
                <w:lang w:eastAsia="es-AR"/>
              </w:rPr>
              <w:t xml:space="preserve"> y </w:t>
            </w:r>
            <w:proofErr w:type="spellStart"/>
            <w:r w:rsidRPr="00CA62C4">
              <w:rPr>
                <w:rFonts w:cstheme="minorHAnsi"/>
                <w:color w:val="000000"/>
                <w:sz w:val="20"/>
                <w:szCs w:val="20"/>
                <w:lang w:eastAsia="es-AR"/>
              </w:rPr>
              <w:t>Viv</w:t>
            </w:r>
            <w:proofErr w:type="spellEnd"/>
            <w:r w:rsidRPr="00CA62C4">
              <w:rPr>
                <w:rFonts w:cstheme="minorHAnsi"/>
                <w:color w:val="000000"/>
                <w:sz w:val="20"/>
                <w:szCs w:val="20"/>
                <w:lang w:eastAsia="es-AR"/>
              </w:rPr>
              <w:t xml:space="preserve">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10.030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28</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Laboratorio </w:t>
            </w:r>
            <w:proofErr w:type="spellStart"/>
            <w:r w:rsidRPr="00CA62C4">
              <w:rPr>
                <w:rFonts w:cstheme="minorHAnsi"/>
                <w:color w:val="000000"/>
                <w:sz w:val="20"/>
                <w:szCs w:val="20"/>
                <w:lang w:eastAsia="es-AR"/>
              </w:rPr>
              <w:t>Elea</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9.920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29</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Aes Argentina Generación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9.420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30</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Distr</w:t>
            </w:r>
            <w:proofErr w:type="spellEnd"/>
            <w:r w:rsidRPr="00CA62C4">
              <w:rPr>
                <w:rFonts w:cstheme="minorHAnsi"/>
                <w:color w:val="000000"/>
                <w:sz w:val="20"/>
                <w:szCs w:val="20"/>
                <w:lang w:eastAsia="es-AR"/>
              </w:rPr>
              <w:t>. Energía Norte</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9.183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31</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Maxiconsumo</w:t>
            </w:r>
            <w:proofErr w:type="spellEnd"/>
            <w:r w:rsidRPr="00CA62C4">
              <w:rPr>
                <w:rFonts w:cstheme="minorHAnsi"/>
                <w:color w:val="000000"/>
                <w:sz w:val="20"/>
                <w:szCs w:val="20"/>
                <w:lang w:eastAsia="es-AR"/>
              </w:rPr>
              <w:t xml:space="preserve">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9.069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32</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Distr</w:t>
            </w:r>
            <w:proofErr w:type="spellEnd"/>
            <w:r w:rsidRPr="00CA62C4">
              <w:rPr>
                <w:rFonts w:cstheme="minorHAnsi"/>
                <w:color w:val="000000"/>
                <w:sz w:val="20"/>
                <w:szCs w:val="20"/>
                <w:lang w:eastAsia="es-AR"/>
              </w:rPr>
              <w:t>. Eléctrica de Mendoza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9.034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33</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Distrb</w:t>
            </w:r>
            <w:proofErr w:type="spellEnd"/>
            <w:r w:rsidRPr="00CA62C4">
              <w:rPr>
                <w:rFonts w:cstheme="minorHAnsi"/>
                <w:color w:val="000000"/>
                <w:sz w:val="20"/>
                <w:szCs w:val="20"/>
                <w:lang w:eastAsia="es-AR"/>
              </w:rPr>
              <w:t xml:space="preserve"> de Gas del Centro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8.740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34</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Enel</w:t>
            </w:r>
            <w:proofErr w:type="spellEnd"/>
            <w:r w:rsidRPr="00CA62C4">
              <w:rPr>
                <w:rFonts w:cstheme="minorHAnsi"/>
                <w:color w:val="000000"/>
                <w:sz w:val="20"/>
                <w:szCs w:val="20"/>
                <w:lang w:eastAsia="es-AR"/>
              </w:rPr>
              <w:t xml:space="preserve"> Argentina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8.652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35</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Tecsan</w:t>
            </w:r>
            <w:proofErr w:type="spellEnd"/>
            <w:r w:rsidRPr="00CA62C4">
              <w:rPr>
                <w:rFonts w:cstheme="minorHAnsi"/>
                <w:color w:val="000000"/>
                <w:sz w:val="20"/>
                <w:szCs w:val="20"/>
                <w:lang w:eastAsia="es-AR"/>
              </w:rPr>
              <w:t xml:space="preserve"> Energía Ambiental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8.601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36</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Litoral Gas y </w:t>
            </w:r>
            <w:proofErr w:type="spellStart"/>
            <w:r w:rsidRPr="00CA62C4">
              <w:rPr>
                <w:rFonts w:cstheme="minorHAnsi"/>
                <w:color w:val="000000"/>
                <w:sz w:val="20"/>
                <w:szCs w:val="20"/>
                <w:lang w:eastAsia="es-AR"/>
              </w:rPr>
              <w:t>Tibsa</w:t>
            </w:r>
            <w:proofErr w:type="spellEnd"/>
            <w:r w:rsidRPr="00CA62C4">
              <w:rPr>
                <w:rFonts w:cstheme="minorHAnsi"/>
                <w:color w:val="000000"/>
                <w:sz w:val="20"/>
                <w:szCs w:val="20"/>
                <w:lang w:eastAsia="es-AR"/>
              </w:rPr>
              <w:t xml:space="preserve"> Inversora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8.578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37</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Adeco Agropecuaria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8.319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38</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GlaxoSmithKline Argentina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8.298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39</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Biotoscana</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8.209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40</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L´Oreal Argentina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8.200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41</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Distribuidora de Gas Cuyana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8.165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42</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Navíos South American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8.160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43</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Siemens</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8.052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44</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xml:space="preserve">Empresa </w:t>
            </w:r>
            <w:proofErr w:type="spellStart"/>
            <w:r w:rsidRPr="00CA62C4">
              <w:rPr>
                <w:rFonts w:cstheme="minorHAnsi"/>
                <w:color w:val="000000"/>
                <w:sz w:val="20"/>
                <w:szCs w:val="20"/>
                <w:lang w:eastAsia="es-AR"/>
              </w:rPr>
              <w:t>Distr</w:t>
            </w:r>
            <w:proofErr w:type="spellEnd"/>
            <w:r w:rsidRPr="00CA62C4">
              <w:rPr>
                <w:rFonts w:cstheme="minorHAnsi"/>
                <w:color w:val="000000"/>
                <w:sz w:val="20"/>
                <w:szCs w:val="20"/>
                <w:lang w:eastAsia="es-AR"/>
              </w:rPr>
              <w:t xml:space="preserve">. De </w:t>
            </w:r>
            <w:proofErr w:type="spellStart"/>
            <w:r w:rsidRPr="00CA62C4">
              <w:rPr>
                <w:rFonts w:cstheme="minorHAnsi"/>
                <w:color w:val="000000"/>
                <w:sz w:val="20"/>
                <w:szCs w:val="20"/>
                <w:lang w:eastAsia="es-AR"/>
              </w:rPr>
              <w:t>energia</w:t>
            </w:r>
            <w:proofErr w:type="spellEnd"/>
            <w:r w:rsidRPr="00CA62C4">
              <w:rPr>
                <w:rFonts w:cstheme="minorHAnsi"/>
                <w:color w:val="000000"/>
                <w:sz w:val="20"/>
                <w:szCs w:val="20"/>
                <w:lang w:eastAsia="es-AR"/>
              </w:rPr>
              <w:t xml:space="preserve"> atlántica (EDEA)</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8.005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Local</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45</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Sipar</w:t>
            </w:r>
            <w:proofErr w:type="spellEnd"/>
            <w:r w:rsidRPr="00CA62C4">
              <w:rPr>
                <w:rFonts w:cstheme="minorHAnsi"/>
                <w:color w:val="000000"/>
                <w:sz w:val="20"/>
                <w:szCs w:val="20"/>
                <w:lang w:eastAsia="es-AR"/>
              </w:rPr>
              <w:t xml:space="preserve"> Aceros</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 xml:space="preserve"> $  </w:t>
            </w:r>
            <w:r>
              <w:rPr>
                <w:rFonts w:cstheme="minorHAnsi"/>
                <w:color w:val="000000"/>
                <w:sz w:val="20"/>
                <w:szCs w:val="20"/>
                <w:lang w:eastAsia="es-AR"/>
              </w:rPr>
              <w:t xml:space="preserve"> </w:t>
            </w:r>
            <w:r w:rsidRPr="00CA62C4">
              <w:rPr>
                <w:rFonts w:cstheme="minorHAnsi"/>
                <w:color w:val="000000"/>
                <w:sz w:val="20"/>
                <w:szCs w:val="20"/>
                <w:lang w:eastAsia="es-AR"/>
              </w:rPr>
              <w:t xml:space="preserve">               7.932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255" w:type="pct"/>
            <w:tcBorders>
              <w:top w:val="nil"/>
              <w:left w:val="single" w:sz="4" w:space="0" w:color="auto"/>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sidRPr="00CA62C4">
              <w:rPr>
                <w:rFonts w:cstheme="minorHAnsi"/>
                <w:color w:val="000000"/>
                <w:sz w:val="20"/>
                <w:szCs w:val="20"/>
                <w:lang w:eastAsia="es-AR"/>
              </w:rPr>
              <w:t>46</w:t>
            </w:r>
          </w:p>
        </w:tc>
        <w:tc>
          <w:tcPr>
            <w:tcW w:w="170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rPr>
                <w:rFonts w:cstheme="minorHAnsi"/>
                <w:color w:val="000000"/>
                <w:sz w:val="20"/>
                <w:szCs w:val="20"/>
                <w:lang w:eastAsia="es-AR"/>
              </w:rPr>
            </w:pPr>
            <w:proofErr w:type="spellStart"/>
            <w:r w:rsidRPr="00CA62C4">
              <w:rPr>
                <w:rFonts w:cstheme="minorHAnsi"/>
                <w:color w:val="000000"/>
                <w:sz w:val="20"/>
                <w:szCs w:val="20"/>
                <w:lang w:eastAsia="es-AR"/>
              </w:rPr>
              <w:t>Enap</w:t>
            </w:r>
            <w:proofErr w:type="spellEnd"/>
            <w:r w:rsidRPr="00CA62C4">
              <w:rPr>
                <w:rFonts w:cstheme="minorHAnsi"/>
                <w:color w:val="000000"/>
                <w:sz w:val="20"/>
                <w:szCs w:val="20"/>
                <w:lang w:eastAsia="es-AR"/>
              </w:rPr>
              <w:t xml:space="preserve"> </w:t>
            </w:r>
            <w:proofErr w:type="spellStart"/>
            <w:r w:rsidRPr="00CA62C4">
              <w:rPr>
                <w:rFonts w:cstheme="minorHAnsi"/>
                <w:color w:val="000000"/>
                <w:sz w:val="20"/>
                <w:szCs w:val="20"/>
                <w:lang w:eastAsia="es-AR"/>
              </w:rPr>
              <w:t>Sipetrol</w:t>
            </w:r>
            <w:proofErr w:type="spellEnd"/>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color w:val="000000"/>
                <w:sz w:val="20"/>
                <w:szCs w:val="20"/>
                <w:lang w:eastAsia="es-AR"/>
              </w:rPr>
            </w:pPr>
            <w:r>
              <w:rPr>
                <w:rFonts w:cstheme="minorHAnsi"/>
                <w:color w:val="000000"/>
                <w:sz w:val="20"/>
                <w:szCs w:val="20"/>
                <w:lang w:eastAsia="es-AR"/>
              </w:rPr>
              <w:t xml:space="preserve"> $   </w:t>
            </w:r>
            <w:r w:rsidRPr="00CA62C4">
              <w:rPr>
                <w:rFonts w:cstheme="minorHAnsi"/>
                <w:color w:val="000000"/>
                <w:sz w:val="20"/>
                <w:szCs w:val="20"/>
                <w:lang w:eastAsia="es-AR"/>
              </w:rPr>
              <w:t xml:space="preserve">               7.896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Extranjera</w:t>
            </w:r>
          </w:p>
        </w:tc>
      </w:tr>
      <w:tr w:rsidR="007D3C81" w:rsidRPr="00CA62C4" w:rsidTr="00005278">
        <w:trPr>
          <w:trHeight w:val="300"/>
          <w:jc w:val="center"/>
        </w:trPr>
        <w:tc>
          <w:tcPr>
            <w:tcW w:w="1962"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7D3C81" w:rsidRPr="00CA62C4" w:rsidRDefault="007D3C81" w:rsidP="00005278">
            <w:pPr>
              <w:jc w:val="center"/>
              <w:rPr>
                <w:rFonts w:cstheme="minorHAnsi"/>
                <w:b/>
                <w:bCs/>
                <w:color w:val="000000"/>
                <w:sz w:val="20"/>
                <w:szCs w:val="20"/>
                <w:lang w:eastAsia="es-AR"/>
              </w:rPr>
            </w:pPr>
            <w:r w:rsidRPr="00CA62C4">
              <w:rPr>
                <w:rFonts w:cstheme="minorHAnsi"/>
                <w:b/>
                <w:bCs/>
                <w:color w:val="000000"/>
                <w:sz w:val="20"/>
                <w:szCs w:val="20"/>
                <w:lang w:eastAsia="es-AR"/>
              </w:rPr>
              <w:t xml:space="preserve">TOTAL </w:t>
            </w:r>
          </w:p>
        </w:tc>
        <w:tc>
          <w:tcPr>
            <w:tcW w:w="2057" w:type="pct"/>
            <w:tcBorders>
              <w:top w:val="nil"/>
              <w:left w:val="nil"/>
              <w:bottom w:val="single" w:sz="4" w:space="0" w:color="auto"/>
              <w:right w:val="single" w:sz="4" w:space="0" w:color="auto"/>
            </w:tcBorders>
            <w:shd w:val="clear" w:color="000000" w:fill="FFFFFF"/>
            <w:noWrap/>
            <w:vAlign w:val="center"/>
            <w:hideMark/>
          </w:tcPr>
          <w:p w:rsidR="007D3C81" w:rsidRPr="00CA62C4" w:rsidRDefault="007D3C81" w:rsidP="00005278">
            <w:pPr>
              <w:jc w:val="right"/>
              <w:rPr>
                <w:rFonts w:cstheme="minorHAnsi"/>
                <w:b/>
                <w:bCs/>
                <w:color w:val="000000"/>
                <w:sz w:val="20"/>
                <w:szCs w:val="20"/>
                <w:lang w:eastAsia="es-AR"/>
              </w:rPr>
            </w:pPr>
            <w:r w:rsidRPr="00CA62C4">
              <w:rPr>
                <w:rFonts w:cstheme="minorHAnsi"/>
                <w:b/>
                <w:bCs/>
                <w:color w:val="000000"/>
                <w:sz w:val="20"/>
                <w:szCs w:val="20"/>
                <w:lang w:eastAsia="es-AR"/>
              </w:rPr>
              <w:t xml:space="preserve"> $ </w:t>
            </w:r>
            <w:r>
              <w:rPr>
                <w:rFonts w:cstheme="minorHAnsi"/>
                <w:b/>
                <w:bCs/>
                <w:color w:val="000000"/>
                <w:sz w:val="20"/>
                <w:szCs w:val="20"/>
                <w:lang w:eastAsia="es-AR"/>
              </w:rPr>
              <w:t xml:space="preserve">  </w:t>
            </w:r>
            <w:r w:rsidRPr="00CA62C4">
              <w:rPr>
                <w:rFonts w:cstheme="minorHAnsi"/>
                <w:b/>
                <w:bCs/>
                <w:color w:val="000000"/>
                <w:sz w:val="20"/>
                <w:szCs w:val="20"/>
                <w:lang w:eastAsia="es-AR"/>
              </w:rPr>
              <w:t xml:space="preserve">           600.477 </w:t>
            </w:r>
          </w:p>
        </w:tc>
        <w:tc>
          <w:tcPr>
            <w:tcW w:w="981" w:type="pct"/>
            <w:tcBorders>
              <w:top w:val="nil"/>
              <w:left w:val="nil"/>
              <w:bottom w:val="single" w:sz="4" w:space="0" w:color="auto"/>
              <w:right w:val="single" w:sz="4" w:space="0" w:color="auto"/>
            </w:tcBorders>
            <w:shd w:val="clear" w:color="auto" w:fill="auto"/>
            <w:noWrap/>
            <w:vAlign w:val="bottom"/>
            <w:hideMark/>
          </w:tcPr>
          <w:p w:rsidR="007D3C81" w:rsidRPr="00CA62C4" w:rsidRDefault="007D3C81" w:rsidP="00005278">
            <w:pPr>
              <w:rPr>
                <w:rFonts w:cstheme="minorHAnsi"/>
                <w:color w:val="000000"/>
                <w:sz w:val="20"/>
                <w:szCs w:val="20"/>
                <w:lang w:eastAsia="es-AR"/>
              </w:rPr>
            </w:pPr>
            <w:r w:rsidRPr="00CA62C4">
              <w:rPr>
                <w:rFonts w:cstheme="minorHAnsi"/>
                <w:color w:val="000000"/>
                <w:sz w:val="20"/>
                <w:szCs w:val="20"/>
                <w:lang w:eastAsia="es-AR"/>
              </w:rPr>
              <w:t> </w:t>
            </w:r>
          </w:p>
        </w:tc>
      </w:tr>
    </w:tbl>
    <w:p w:rsidR="007D3C81" w:rsidRPr="001D55A7" w:rsidRDefault="007D3C81" w:rsidP="007D3C81">
      <w:pPr>
        <w:jc w:val="center"/>
        <w:rPr>
          <w:sz w:val="18"/>
          <w:szCs w:val="18"/>
          <w:lang w:val="es-ES"/>
        </w:rPr>
      </w:pPr>
      <w:r w:rsidRPr="001D55A7">
        <w:rPr>
          <w:sz w:val="18"/>
          <w:szCs w:val="18"/>
          <w:lang w:val="es-ES"/>
        </w:rPr>
        <w:t>Fuente: Elaboración Propia en base a datos oficiales y Revista Mercado.</w:t>
      </w:r>
    </w:p>
    <w:p w:rsidR="007D3C81" w:rsidRDefault="007D3C81" w:rsidP="00E96398">
      <w:pPr>
        <w:rPr>
          <w:b/>
          <w:bCs/>
          <w:lang w:val="es-ES"/>
        </w:rPr>
      </w:pPr>
    </w:p>
    <w:p w:rsidR="007D3C81" w:rsidRDefault="007D3C81" w:rsidP="00E96398">
      <w:pPr>
        <w:rPr>
          <w:b/>
          <w:bCs/>
          <w:lang w:val="es-ES"/>
        </w:rPr>
      </w:pPr>
    </w:p>
    <w:p w:rsidR="004E7B41" w:rsidRPr="00353FF0" w:rsidRDefault="004E7B41" w:rsidP="004E7B41">
      <w:pPr>
        <w:jc w:val="both"/>
        <w:rPr>
          <w:b/>
          <w:bCs/>
          <w:sz w:val="22"/>
          <w:lang w:val="es-ES"/>
        </w:rPr>
      </w:pPr>
      <w:r w:rsidRPr="00353FF0">
        <w:rPr>
          <w:b/>
          <w:bCs/>
          <w:sz w:val="22"/>
          <w:lang w:val="es-ES"/>
        </w:rPr>
        <w:t xml:space="preserve">Cuadro </w:t>
      </w:r>
      <w:r w:rsidR="007D3C81">
        <w:rPr>
          <w:b/>
          <w:bCs/>
          <w:sz w:val="22"/>
          <w:lang w:val="es-ES"/>
        </w:rPr>
        <w:t>3</w:t>
      </w:r>
      <w:r w:rsidRPr="00353FF0">
        <w:rPr>
          <w:b/>
          <w:bCs/>
          <w:sz w:val="22"/>
          <w:lang w:val="es-ES"/>
        </w:rPr>
        <w:t>: Resultado neto  de las empresas del sistema financiero que cotiza en Bolsa. Junio 2019.</w:t>
      </w:r>
      <w:r w:rsidR="00191880" w:rsidRPr="00353FF0">
        <w:rPr>
          <w:b/>
          <w:bCs/>
          <w:sz w:val="22"/>
          <w:lang w:val="es-ES"/>
        </w:rPr>
        <w:t xml:space="preserve"> En pesos.</w:t>
      </w:r>
    </w:p>
    <w:tbl>
      <w:tblPr>
        <w:tblW w:w="8690" w:type="dxa"/>
        <w:tblCellMar>
          <w:left w:w="70" w:type="dxa"/>
          <w:right w:w="70" w:type="dxa"/>
        </w:tblCellMar>
        <w:tblLook w:val="04A0"/>
      </w:tblPr>
      <w:tblGrid>
        <w:gridCol w:w="343"/>
        <w:gridCol w:w="1747"/>
        <w:gridCol w:w="1100"/>
        <w:gridCol w:w="2240"/>
        <w:gridCol w:w="2240"/>
        <w:gridCol w:w="1020"/>
      </w:tblGrid>
      <w:tr w:rsidR="004E7B41" w:rsidRPr="001137FC" w:rsidTr="00416F09">
        <w:trPr>
          <w:trHeight w:val="300"/>
        </w:trPr>
        <w:tc>
          <w:tcPr>
            <w:tcW w:w="2090" w:type="dxa"/>
            <w:gridSpan w:val="2"/>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4E7B41" w:rsidRPr="001137FC" w:rsidRDefault="004E7B41" w:rsidP="00416F09">
            <w:pPr>
              <w:jc w:val="center"/>
              <w:rPr>
                <w:rFonts w:ascii="Calibri" w:eastAsia="Times New Roman" w:hAnsi="Calibri" w:cs="Calibri"/>
                <w:b/>
                <w:bCs/>
                <w:i/>
                <w:iCs/>
                <w:color w:val="FFFFFF"/>
                <w:sz w:val="20"/>
                <w:szCs w:val="20"/>
                <w:lang w:eastAsia="es-ES_tradnl"/>
              </w:rPr>
            </w:pPr>
            <w:r w:rsidRPr="001137FC">
              <w:rPr>
                <w:rFonts w:ascii="Calibri" w:eastAsia="Times New Roman" w:hAnsi="Calibri" w:cs="Calibri"/>
                <w:b/>
                <w:bCs/>
                <w:i/>
                <w:iCs/>
                <w:color w:val="FFFFFF"/>
                <w:sz w:val="20"/>
                <w:szCs w:val="20"/>
                <w:lang w:eastAsia="es-ES_tradnl"/>
              </w:rPr>
              <w:t>Empresa</w:t>
            </w:r>
          </w:p>
        </w:tc>
        <w:tc>
          <w:tcPr>
            <w:tcW w:w="1100"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4E7B41" w:rsidRPr="001137FC" w:rsidRDefault="004E7B41" w:rsidP="00416F09">
            <w:pPr>
              <w:jc w:val="center"/>
              <w:rPr>
                <w:rFonts w:ascii="Calibri" w:eastAsia="Times New Roman" w:hAnsi="Calibri" w:cs="Calibri"/>
                <w:b/>
                <w:bCs/>
                <w:i/>
                <w:iCs/>
                <w:color w:val="FFFFFF"/>
                <w:sz w:val="20"/>
                <w:szCs w:val="20"/>
                <w:lang w:eastAsia="es-ES_tradnl"/>
              </w:rPr>
            </w:pPr>
            <w:r w:rsidRPr="001137FC">
              <w:rPr>
                <w:rFonts w:ascii="Calibri" w:eastAsia="Times New Roman" w:hAnsi="Calibri" w:cs="Calibri"/>
                <w:b/>
                <w:bCs/>
                <w:i/>
                <w:iCs/>
                <w:color w:val="FFFFFF"/>
                <w:sz w:val="20"/>
                <w:szCs w:val="20"/>
                <w:lang w:eastAsia="es-ES_tradnl"/>
              </w:rPr>
              <w:t>SIGLA CNV</w:t>
            </w:r>
          </w:p>
        </w:tc>
        <w:tc>
          <w:tcPr>
            <w:tcW w:w="5500" w:type="dxa"/>
            <w:gridSpan w:val="3"/>
            <w:tcBorders>
              <w:top w:val="single" w:sz="4" w:space="0" w:color="auto"/>
              <w:left w:val="nil"/>
              <w:bottom w:val="single" w:sz="4" w:space="0" w:color="auto"/>
              <w:right w:val="single" w:sz="4" w:space="0" w:color="auto"/>
            </w:tcBorders>
            <w:shd w:val="clear" w:color="000000" w:fill="5B9BD5"/>
            <w:noWrap/>
            <w:vAlign w:val="center"/>
            <w:hideMark/>
          </w:tcPr>
          <w:p w:rsidR="004E7B41" w:rsidRPr="001137FC" w:rsidRDefault="004E7B41" w:rsidP="00416F09">
            <w:pPr>
              <w:jc w:val="center"/>
              <w:rPr>
                <w:rFonts w:ascii="Calibri" w:eastAsia="Times New Roman" w:hAnsi="Calibri" w:cs="Calibri"/>
                <w:b/>
                <w:bCs/>
                <w:i/>
                <w:iCs/>
                <w:color w:val="FFFFFF"/>
                <w:sz w:val="20"/>
                <w:szCs w:val="20"/>
                <w:lang w:eastAsia="es-ES_tradnl"/>
              </w:rPr>
            </w:pPr>
            <w:r w:rsidRPr="001137FC">
              <w:rPr>
                <w:rFonts w:ascii="Calibri" w:eastAsia="Times New Roman" w:hAnsi="Calibri" w:cs="Calibri"/>
                <w:b/>
                <w:bCs/>
                <w:i/>
                <w:iCs/>
                <w:color w:val="FFFFFF"/>
                <w:sz w:val="20"/>
                <w:szCs w:val="20"/>
                <w:lang w:eastAsia="es-ES_tradnl"/>
              </w:rPr>
              <w:t xml:space="preserve">Resultado Neto </w:t>
            </w:r>
          </w:p>
        </w:tc>
      </w:tr>
      <w:tr w:rsidR="004E7B41" w:rsidRPr="001137FC" w:rsidTr="00416F09">
        <w:trPr>
          <w:trHeight w:val="300"/>
        </w:trPr>
        <w:tc>
          <w:tcPr>
            <w:tcW w:w="2090" w:type="dxa"/>
            <w:gridSpan w:val="2"/>
            <w:vMerge/>
            <w:tcBorders>
              <w:top w:val="single" w:sz="4" w:space="0" w:color="auto"/>
              <w:left w:val="single" w:sz="4" w:space="0" w:color="auto"/>
              <w:bottom w:val="single" w:sz="4" w:space="0" w:color="auto"/>
              <w:right w:val="single" w:sz="4" w:space="0" w:color="auto"/>
            </w:tcBorders>
            <w:vAlign w:val="center"/>
            <w:hideMark/>
          </w:tcPr>
          <w:p w:rsidR="004E7B41" w:rsidRPr="001137FC" w:rsidRDefault="004E7B41" w:rsidP="00416F09">
            <w:pPr>
              <w:rPr>
                <w:rFonts w:ascii="Calibri" w:eastAsia="Times New Roman" w:hAnsi="Calibri" w:cs="Calibri"/>
                <w:b/>
                <w:bCs/>
                <w:i/>
                <w:iCs/>
                <w:color w:val="FFFFFF"/>
                <w:sz w:val="20"/>
                <w:szCs w:val="20"/>
                <w:lang w:eastAsia="es-ES_tradnl"/>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4E7B41" w:rsidRPr="001137FC" w:rsidRDefault="004E7B41" w:rsidP="00416F09">
            <w:pPr>
              <w:rPr>
                <w:rFonts w:ascii="Calibri" w:eastAsia="Times New Roman" w:hAnsi="Calibri" w:cs="Calibri"/>
                <w:b/>
                <w:bCs/>
                <w:i/>
                <w:iCs/>
                <w:color w:val="FFFFFF"/>
                <w:sz w:val="20"/>
                <w:szCs w:val="20"/>
                <w:lang w:eastAsia="es-ES_tradnl"/>
              </w:rPr>
            </w:pPr>
          </w:p>
        </w:tc>
        <w:tc>
          <w:tcPr>
            <w:tcW w:w="2240" w:type="dxa"/>
            <w:tcBorders>
              <w:top w:val="nil"/>
              <w:left w:val="nil"/>
              <w:bottom w:val="single" w:sz="4" w:space="0" w:color="auto"/>
              <w:right w:val="single" w:sz="4" w:space="0" w:color="auto"/>
            </w:tcBorders>
            <w:shd w:val="clear" w:color="000000" w:fill="5B9BD5"/>
            <w:vAlign w:val="center"/>
            <w:hideMark/>
          </w:tcPr>
          <w:p w:rsidR="004E7B41" w:rsidRPr="001137FC" w:rsidRDefault="004E7B41" w:rsidP="00416F09">
            <w:pPr>
              <w:jc w:val="center"/>
              <w:rPr>
                <w:rFonts w:ascii="Calibri" w:eastAsia="Times New Roman" w:hAnsi="Calibri" w:cs="Calibri"/>
                <w:b/>
                <w:bCs/>
                <w:i/>
                <w:iCs/>
                <w:color w:val="FFFFFF"/>
                <w:sz w:val="20"/>
                <w:szCs w:val="20"/>
                <w:lang w:eastAsia="es-ES_tradnl"/>
              </w:rPr>
            </w:pPr>
            <w:r w:rsidRPr="001137FC">
              <w:rPr>
                <w:rFonts w:ascii="Calibri" w:eastAsia="Times New Roman" w:hAnsi="Calibri" w:cs="Calibri"/>
                <w:b/>
                <w:bCs/>
                <w:i/>
                <w:iCs/>
                <w:color w:val="FFFFFF"/>
                <w:sz w:val="20"/>
                <w:szCs w:val="20"/>
                <w:lang w:eastAsia="es-ES_tradnl"/>
              </w:rPr>
              <w:t>2018</w:t>
            </w:r>
          </w:p>
        </w:tc>
        <w:tc>
          <w:tcPr>
            <w:tcW w:w="2240" w:type="dxa"/>
            <w:tcBorders>
              <w:top w:val="nil"/>
              <w:left w:val="nil"/>
              <w:bottom w:val="single" w:sz="4" w:space="0" w:color="auto"/>
              <w:right w:val="single" w:sz="4" w:space="0" w:color="auto"/>
            </w:tcBorders>
            <w:shd w:val="clear" w:color="000000" w:fill="5B9BD5"/>
            <w:vAlign w:val="center"/>
            <w:hideMark/>
          </w:tcPr>
          <w:p w:rsidR="004E7B41" w:rsidRPr="001137FC" w:rsidRDefault="004E7B41" w:rsidP="00416F09">
            <w:pPr>
              <w:jc w:val="center"/>
              <w:rPr>
                <w:rFonts w:ascii="Calibri" w:eastAsia="Times New Roman" w:hAnsi="Calibri" w:cs="Calibri"/>
                <w:b/>
                <w:bCs/>
                <w:i/>
                <w:iCs/>
                <w:color w:val="FFFFFF"/>
                <w:sz w:val="20"/>
                <w:szCs w:val="20"/>
                <w:lang w:eastAsia="es-ES_tradnl"/>
              </w:rPr>
            </w:pPr>
            <w:r w:rsidRPr="001137FC">
              <w:rPr>
                <w:rFonts w:ascii="Calibri" w:eastAsia="Times New Roman" w:hAnsi="Calibri" w:cs="Calibri"/>
                <w:b/>
                <w:bCs/>
                <w:i/>
                <w:iCs/>
                <w:color w:val="FFFFFF"/>
                <w:sz w:val="20"/>
                <w:szCs w:val="20"/>
                <w:lang w:eastAsia="es-ES_tradnl"/>
              </w:rPr>
              <w:t>2019</w:t>
            </w:r>
          </w:p>
        </w:tc>
        <w:tc>
          <w:tcPr>
            <w:tcW w:w="1020" w:type="dxa"/>
            <w:tcBorders>
              <w:top w:val="nil"/>
              <w:left w:val="nil"/>
              <w:bottom w:val="single" w:sz="4" w:space="0" w:color="auto"/>
              <w:right w:val="single" w:sz="4" w:space="0" w:color="auto"/>
            </w:tcBorders>
            <w:shd w:val="clear" w:color="000000" w:fill="5B9BD5"/>
            <w:noWrap/>
            <w:vAlign w:val="center"/>
            <w:hideMark/>
          </w:tcPr>
          <w:p w:rsidR="004E7B41" w:rsidRPr="001137FC" w:rsidRDefault="004E7B41" w:rsidP="00416F09">
            <w:pPr>
              <w:jc w:val="center"/>
              <w:rPr>
                <w:rFonts w:ascii="Calibri" w:eastAsia="Times New Roman" w:hAnsi="Calibri" w:cs="Calibri"/>
                <w:b/>
                <w:bCs/>
                <w:i/>
                <w:iCs/>
                <w:color w:val="FFFFFF"/>
                <w:sz w:val="20"/>
                <w:szCs w:val="20"/>
                <w:lang w:eastAsia="es-ES_tradnl"/>
              </w:rPr>
            </w:pPr>
            <w:r w:rsidRPr="001137FC">
              <w:rPr>
                <w:rFonts w:ascii="Calibri" w:eastAsia="Times New Roman" w:hAnsi="Calibri" w:cs="Calibri"/>
                <w:b/>
                <w:bCs/>
                <w:i/>
                <w:iCs/>
                <w:color w:val="FFFFFF"/>
                <w:sz w:val="20"/>
                <w:szCs w:val="20"/>
                <w:lang w:eastAsia="es-ES_tradnl"/>
              </w:rPr>
              <w:t xml:space="preserve">Var. </w:t>
            </w:r>
            <w:proofErr w:type="spellStart"/>
            <w:r w:rsidRPr="001137FC">
              <w:rPr>
                <w:rFonts w:ascii="Calibri" w:eastAsia="Times New Roman" w:hAnsi="Calibri" w:cs="Calibri"/>
                <w:b/>
                <w:bCs/>
                <w:i/>
                <w:iCs/>
                <w:color w:val="FFFFFF"/>
                <w:sz w:val="20"/>
                <w:szCs w:val="20"/>
                <w:lang w:eastAsia="es-ES_tradnl"/>
              </w:rPr>
              <w:t>a/a</w:t>
            </w:r>
            <w:proofErr w:type="spellEnd"/>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1</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xml:space="preserve">Banco </w:t>
            </w:r>
            <w:proofErr w:type="spellStart"/>
            <w:r w:rsidRPr="001137FC">
              <w:rPr>
                <w:rFonts w:ascii="Calibri" w:eastAsia="Times New Roman" w:hAnsi="Calibri" w:cs="Calibri"/>
                <w:sz w:val="20"/>
                <w:szCs w:val="20"/>
                <w:lang w:eastAsia="es-ES_tradnl"/>
              </w:rPr>
              <w:t>Suppervielle</w:t>
            </w:r>
            <w:proofErr w:type="spellEnd"/>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SOGE</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$ 470.881.000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$ 1.973.696.000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319,1%</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2</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Hipotecario</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BHIP</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$ 1.005.472.000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$ 652.353.000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-35,1%</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3</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Tarjeta Naranja</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TARJ</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$ 541.244.000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$ 186.495.000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-65,5%</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4</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xml:space="preserve">Banco </w:t>
            </w:r>
            <w:proofErr w:type="spellStart"/>
            <w:r w:rsidRPr="001137FC">
              <w:rPr>
                <w:rFonts w:ascii="Calibri" w:eastAsia="Times New Roman" w:hAnsi="Calibri" w:cs="Calibri"/>
                <w:sz w:val="20"/>
                <w:szCs w:val="20"/>
                <w:lang w:eastAsia="es-ES_tradnl"/>
              </w:rPr>
              <w:t>Comafi</w:t>
            </w:r>
            <w:proofErr w:type="spellEnd"/>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BCOM</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$ 229.753.000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$ 1.135.323.000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394,1%</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5</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ICBC</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STBA</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proofErr w:type="spellStart"/>
            <w:r>
              <w:rPr>
                <w:rFonts w:ascii="Calibri" w:eastAsia="Times New Roman" w:hAnsi="Calibri" w:cs="Calibri"/>
                <w:sz w:val="20"/>
                <w:szCs w:val="20"/>
                <w:lang w:eastAsia="es-ES_tradnl"/>
              </w:rPr>
              <w:t>s.d</w:t>
            </w:r>
            <w:proofErr w:type="spellEnd"/>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proofErr w:type="spellStart"/>
            <w:r>
              <w:rPr>
                <w:rFonts w:ascii="Calibri" w:eastAsia="Times New Roman" w:hAnsi="Calibri" w:cs="Calibri"/>
                <w:sz w:val="20"/>
                <w:szCs w:val="20"/>
                <w:lang w:eastAsia="es-ES_tradnl"/>
              </w:rPr>
              <w:t>s.d</w:t>
            </w:r>
            <w:proofErr w:type="spellEnd"/>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center"/>
              <w:rPr>
                <w:rFonts w:ascii="Calibri" w:eastAsia="Times New Roman" w:hAnsi="Calibri" w:cs="Calibri"/>
                <w:sz w:val="20"/>
                <w:szCs w:val="20"/>
                <w:lang w:eastAsia="es-ES_tradnl"/>
              </w:rPr>
            </w:pPr>
            <w:proofErr w:type="spellStart"/>
            <w:r>
              <w:rPr>
                <w:rFonts w:ascii="Calibri" w:eastAsia="Times New Roman" w:hAnsi="Calibri" w:cs="Calibri"/>
                <w:sz w:val="20"/>
                <w:szCs w:val="20"/>
                <w:lang w:eastAsia="es-ES_tradnl"/>
              </w:rPr>
              <w:t>s.d.</w:t>
            </w:r>
            <w:proofErr w:type="spellEnd"/>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6</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Patagonia</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BPA</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$ 2.137.640.000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$ 7.035.579.000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229,1%</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7</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xml:space="preserve">Banco </w:t>
            </w:r>
            <w:proofErr w:type="spellStart"/>
            <w:r w:rsidRPr="001137FC">
              <w:rPr>
                <w:rFonts w:ascii="Calibri" w:eastAsia="Times New Roman" w:hAnsi="Calibri" w:cs="Calibri"/>
                <w:sz w:val="20"/>
                <w:szCs w:val="20"/>
                <w:lang w:eastAsia="es-ES_tradnl"/>
              </w:rPr>
              <w:t>ITaú</w:t>
            </w:r>
            <w:proofErr w:type="spellEnd"/>
            <w:r w:rsidRPr="001137FC">
              <w:rPr>
                <w:rFonts w:ascii="Calibri" w:eastAsia="Times New Roman" w:hAnsi="Calibri" w:cs="Calibri"/>
                <w:sz w:val="20"/>
                <w:szCs w:val="20"/>
                <w:lang w:eastAsia="es-ES_tradnl"/>
              </w:rPr>
              <w:t xml:space="preserve"> Argentina</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IITAU</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$ 373.664.000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$ 1.376.416.000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268,4%</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8</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HSBC Bank Argentina</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BROB</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$ 1.789.512.000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$ 6.415.024.000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258,5%</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9</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Santander Río</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BRIO</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$ 3.953.579.000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$ 11.837.209.000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199,4%</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10</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Galicia</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GALI</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$ 3.928.107.000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$ 17.946.234.000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356,9%</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11</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Macro</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BMA</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$ 6.657.832.000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$ 14.375.739.000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115,9%</w:t>
            </w:r>
          </w:p>
        </w:tc>
      </w:tr>
      <w:tr w:rsidR="004E7B41" w:rsidRPr="001137FC" w:rsidTr="00416F09">
        <w:trPr>
          <w:trHeight w:val="300"/>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12</w:t>
            </w:r>
          </w:p>
        </w:tc>
        <w:tc>
          <w:tcPr>
            <w:tcW w:w="1747"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proofErr w:type="spellStart"/>
            <w:r w:rsidRPr="001137FC">
              <w:rPr>
                <w:rFonts w:ascii="Calibri" w:eastAsia="Times New Roman" w:hAnsi="Calibri" w:cs="Calibri"/>
                <w:sz w:val="20"/>
                <w:szCs w:val="20"/>
                <w:lang w:eastAsia="es-ES_tradnl"/>
              </w:rPr>
              <w:t>Bco</w:t>
            </w:r>
            <w:proofErr w:type="spellEnd"/>
            <w:r w:rsidRPr="001137FC">
              <w:rPr>
                <w:rFonts w:ascii="Calibri" w:eastAsia="Times New Roman" w:hAnsi="Calibri" w:cs="Calibri"/>
                <w:sz w:val="20"/>
                <w:szCs w:val="20"/>
                <w:lang w:eastAsia="es-ES_tradnl"/>
              </w:rPr>
              <w:t xml:space="preserve"> Francés</w:t>
            </w:r>
          </w:p>
        </w:tc>
        <w:tc>
          <w:tcPr>
            <w:tcW w:w="110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FRAN</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$ 3.720.002.000</w:t>
            </w:r>
          </w:p>
        </w:tc>
        <w:tc>
          <w:tcPr>
            <w:tcW w:w="224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$ 12.791.393.000</w:t>
            </w:r>
          </w:p>
        </w:tc>
        <w:tc>
          <w:tcPr>
            <w:tcW w:w="1020" w:type="dxa"/>
            <w:tcBorders>
              <w:top w:val="nil"/>
              <w:left w:val="nil"/>
              <w:bottom w:val="single" w:sz="4" w:space="0" w:color="auto"/>
              <w:right w:val="single" w:sz="4" w:space="0" w:color="auto"/>
            </w:tcBorders>
            <w:shd w:val="clear" w:color="000000" w:fill="FFFFFF"/>
            <w:noWrap/>
            <w:vAlign w:val="bottom"/>
            <w:hideMark/>
          </w:tcPr>
          <w:p w:rsidR="004E7B41" w:rsidRPr="001137FC" w:rsidRDefault="004E7B41" w:rsidP="00416F09">
            <w:pPr>
              <w:jc w:val="right"/>
              <w:rPr>
                <w:rFonts w:ascii="Calibri" w:eastAsia="Times New Roman" w:hAnsi="Calibri" w:cs="Calibri"/>
                <w:sz w:val="20"/>
                <w:szCs w:val="20"/>
                <w:lang w:eastAsia="es-ES_tradnl"/>
              </w:rPr>
            </w:pPr>
            <w:r w:rsidRPr="001137FC">
              <w:rPr>
                <w:rFonts w:ascii="Calibri" w:eastAsia="Times New Roman" w:hAnsi="Calibri" w:cs="Calibri"/>
                <w:sz w:val="20"/>
                <w:szCs w:val="20"/>
                <w:lang w:eastAsia="es-ES_tradnl"/>
              </w:rPr>
              <w:t>243,9%</w:t>
            </w:r>
          </w:p>
        </w:tc>
      </w:tr>
      <w:tr w:rsidR="004E7B41" w:rsidRPr="001137FC" w:rsidTr="00416F09">
        <w:trPr>
          <w:trHeight w:val="300"/>
        </w:trPr>
        <w:tc>
          <w:tcPr>
            <w:tcW w:w="31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7B41" w:rsidRPr="001137FC" w:rsidRDefault="004E7B41" w:rsidP="00416F09">
            <w:pPr>
              <w:jc w:val="center"/>
              <w:rPr>
                <w:rFonts w:ascii="Calibri" w:eastAsia="Times New Roman" w:hAnsi="Calibri" w:cs="Calibri"/>
                <w:b/>
                <w:bCs/>
                <w:sz w:val="22"/>
                <w:szCs w:val="22"/>
                <w:lang w:eastAsia="es-ES_tradnl"/>
              </w:rPr>
            </w:pPr>
            <w:r w:rsidRPr="001137FC">
              <w:rPr>
                <w:rFonts w:ascii="Calibri" w:eastAsia="Times New Roman" w:hAnsi="Calibri" w:cs="Calibri"/>
                <w:b/>
                <w:bCs/>
                <w:sz w:val="22"/>
                <w:szCs w:val="22"/>
                <w:lang w:eastAsia="es-ES_tradnl"/>
              </w:rPr>
              <w:t>Total TOP-12</w:t>
            </w:r>
          </w:p>
        </w:tc>
        <w:tc>
          <w:tcPr>
            <w:tcW w:w="2240" w:type="dxa"/>
            <w:tcBorders>
              <w:top w:val="nil"/>
              <w:left w:val="nil"/>
              <w:bottom w:val="single" w:sz="4" w:space="0" w:color="auto"/>
              <w:right w:val="single" w:sz="4" w:space="0" w:color="auto"/>
            </w:tcBorders>
            <w:shd w:val="clear" w:color="000000" w:fill="FFFFFF"/>
            <w:noWrap/>
            <w:vAlign w:val="center"/>
            <w:hideMark/>
          </w:tcPr>
          <w:p w:rsidR="004E7B41" w:rsidRPr="001137FC" w:rsidRDefault="004E7B41" w:rsidP="00416F09">
            <w:pPr>
              <w:jc w:val="center"/>
              <w:rPr>
                <w:rFonts w:ascii="Calibri" w:eastAsia="Times New Roman" w:hAnsi="Calibri" w:cs="Calibri"/>
                <w:b/>
                <w:bCs/>
                <w:sz w:val="22"/>
                <w:szCs w:val="22"/>
                <w:lang w:eastAsia="es-ES_tradnl"/>
              </w:rPr>
            </w:pPr>
            <w:r w:rsidRPr="001137FC">
              <w:rPr>
                <w:rFonts w:ascii="Calibri" w:eastAsia="Times New Roman" w:hAnsi="Calibri" w:cs="Calibri"/>
                <w:b/>
                <w:bCs/>
                <w:sz w:val="22"/>
                <w:szCs w:val="22"/>
                <w:lang w:eastAsia="es-ES_tradnl"/>
              </w:rPr>
              <w:t>$ 24.807.686.000</w:t>
            </w:r>
          </w:p>
        </w:tc>
        <w:tc>
          <w:tcPr>
            <w:tcW w:w="2240" w:type="dxa"/>
            <w:tcBorders>
              <w:top w:val="nil"/>
              <w:left w:val="nil"/>
              <w:bottom w:val="single" w:sz="4" w:space="0" w:color="auto"/>
              <w:right w:val="single" w:sz="4" w:space="0" w:color="auto"/>
            </w:tcBorders>
            <w:shd w:val="clear" w:color="000000" w:fill="FFFFFF"/>
            <w:noWrap/>
            <w:vAlign w:val="center"/>
            <w:hideMark/>
          </w:tcPr>
          <w:p w:rsidR="004E7B41" w:rsidRPr="001137FC" w:rsidRDefault="004E7B41" w:rsidP="00416F09">
            <w:pPr>
              <w:jc w:val="center"/>
              <w:rPr>
                <w:rFonts w:ascii="Calibri" w:eastAsia="Times New Roman" w:hAnsi="Calibri" w:cs="Calibri"/>
                <w:b/>
                <w:bCs/>
                <w:sz w:val="22"/>
                <w:szCs w:val="22"/>
                <w:lang w:eastAsia="es-ES_tradnl"/>
              </w:rPr>
            </w:pPr>
            <w:r w:rsidRPr="001137FC">
              <w:rPr>
                <w:rFonts w:ascii="Calibri" w:eastAsia="Times New Roman" w:hAnsi="Calibri" w:cs="Calibri"/>
                <w:b/>
                <w:bCs/>
                <w:sz w:val="22"/>
                <w:szCs w:val="22"/>
                <w:lang w:eastAsia="es-ES_tradnl"/>
              </w:rPr>
              <w:t>$ 75.725.461.000</w:t>
            </w:r>
          </w:p>
        </w:tc>
        <w:tc>
          <w:tcPr>
            <w:tcW w:w="1020" w:type="dxa"/>
            <w:tcBorders>
              <w:top w:val="nil"/>
              <w:left w:val="nil"/>
              <w:bottom w:val="single" w:sz="4" w:space="0" w:color="auto"/>
              <w:right w:val="single" w:sz="4" w:space="0" w:color="auto"/>
            </w:tcBorders>
            <w:shd w:val="clear" w:color="000000" w:fill="FFFFFF"/>
            <w:noWrap/>
            <w:vAlign w:val="center"/>
            <w:hideMark/>
          </w:tcPr>
          <w:p w:rsidR="004E7B41" w:rsidRPr="001137FC" w:rsidRDefault="004E7B41" w:rsidP="00416F09">
            <w:pPr>
              <w:jc w:val="center"/>
              <w:rPr>
                <w:rFonts w:ascii="Calibri" w:eastAsia="Times New Roman" w:hAnsi="Calibri" w:cs="Calibri"/>
                <w:b/>
                <w:bCs/>
                <w:sz w:val="22"/>
                <w:szCs w:val="22"/>
                <w:lang w:eastAsia="es-ES_tradnl"/>
              </w:rPr>
            </w:pPr>
            <w:r w:rsidRPr="001137FC">
              <w:rPr>
                <w:rFonts w:ascii="Calibri" w:eastAsia="Times New Roman" w:hAnsi="Calibri" w:cs="Calibri"/>
                <w:b/>
                <w:bCs/>
                <w:sz w:val="22"/>
                <w:szCs w:val="22"/>
                <w:lang w:eastAsia="es-ES_tradnl"/>
              </w:rPr>
              <w:t>205,2%</w:t>
            </w:r>
          </w:p>
        </w:tc>
      </w:tr>
    </w:tbl>
    <w:p w:rsidR="004E7B41" w:rsidRDefault="004E7B41" w:rsidP="004E7B41">
      <w:pPr>
        <w:jc w:val="both"/>
        <w:rPr>
          <w:lang w:val="es-ES"/>
        </w:rPr>
      </w:pPr>
      <w:r w:rsidRPr="00C44975">
        <w:rPr>
          <w:sz w:val="20"/>
          <w:szCs w:val="20"/>
          <w:lang w:val="es-ES"/>
        </w:rPr>
        <w:t>Fuente: Elaboración propia en base a datos de balance de empresas que cotiza en la Bolsa de Buenos</w:t>
      </w:r>
    </w:p>
    <w:p w:rsidR="00E96398" w:rsidRDefault="00E96398" w:rsidP="00E96398">
      <w:pPr>
        <w:rPr>
          <w:b/>
          <w:bCs/>
          <w:lang w:val="es-ES"/>
        </w:rPr>
      </w:pPr>
    </w:p>
    <w:sectPr w:rsidR="00E96398" w:rsidSect="0070000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954" w:rsidRDefault="00322954">
      <w:r>
        <w:separator/>
      </w:r>
    </w:p>
  </w:endnote>
  <w:endnote w:type="continuationSeparator" w:id="0">
    <w:p w:rsidR="00322954" w:rsidRDefault="003229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C84" w:rsidRDefault="008D4937" w:rsidP="00714463">
    <w:pPr>
      <w:pStyle w:val="Piedepgina"/>
      <w:framePr w:wrap="around" w:vAnchor="text" w:hAnchor="margin" w:xAlign="right" w:y="1"/>
      <w:rPr>
        <w:rStyle w:val="Nmerodepgina"/>
      </w:rPr>
    </w:pPr>
    <w:r>
      <w:rPr>
        <w:rStyle w:val="Nmerodepgina"/>
      </w:rPr>
      <w:fldChar w:fldCharType="begin"/>
    </w:r>
    <w:r w:rsidR="00B24C84">
      <w:rPr>
        <w:rStyle w:val="Nmerodepgina"/>
      </w:rPr>
      <w:instrText xml:space="preserve">PAGE  </w:instrText>
    </w:r>
    <w:r>
      <w:rPr>
        <w:rStyle w:val="Nmerodepgina"/>
      </w:rPr>
      <w:fldChar w:fldCharType="end"/>
    </w:r>
  </w:p>
  <w:p w:rsidR="00B24C84" w:rsidRDefault="00B24C84" w:rsidP="00C26E2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C84" w:rsidRDefault="008D4937" w:rsidP="00714463">
    <w:pPr>
      <w:pStyle w:val="Piedepgina"/>
      <w:framePr w:wrap="around" w:vAnchor="text" w:hAnchor="margin" w:xAlign="right" w:y="1"/>
      <w:rPr>
        <w:rStyle w:val="Nmerodepgina"/>
      </w:rPr>
    </w:pPr>
    <w:r>
      <w:rPr>
        <w:rStyle w:val="Nmerodepgina"/>
      </w:rPr>
      <w:fldChar w:fldCharType="begin"/>
    </w:r>
    <w:r w:rsidR="00B24C84">
      <w:rPr>
        <w:rStyle w:val="Nmerodepgina"/>
      </w:rPr>
      <w:instrText xml:space="preserve">PAGE  </w:instrText>
    </w:r>
    <w:r>
      <w:rPr>
        <w:rStyle w:val="Nmerodepgina"/>
      </w:rPr>
      <w:fldChar w:fldCharType="separate"/>
    </w:r>
    <w:r w:rsidR="009465FD">
      <w:rPr>
        <w:rStyle w:val="Nmerodepgina"/>
        <w:noProof/>
      </w:rPr>
      <w:t>1</w:t>
    </w:r>
    <w:r>
      <w:rPr>
        <w:rStyle w:val="Nmerodepgina"/>
      </w:rPr>
      <w:fldChar w:fldCharType="end"/>
    </w:r>
  </w:p>
  <w:p w:rsidR="00B24C84" w:rsidRDefault="00B24C84" w:rsidP="00C26E22">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C84" w:rsidRDefault="00B24C84">
    <w:pPr>
      <w:pStyle w:val="Normal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954" w:rsidRDefault="00322954">
      <w:r>
        <w:separator/>
      </w:r>
    </w:p>
  </w:footnote>
  <w:footnote w:type="continuationSeparator" w:id="0">
    <w:p w:rsidR="00322954" w:rsidRDefault="00322954">
      <w:r>
        <w:continuationSeparator/>
      </w:r>
    </w:p>
  </w:footnote>
  <w:footnote w:id="1">
    <w:p w:rsidR="00B24C84" w:rsidRDefault="00B24C84">
      <w:pPr>
        <w:pStyle w:val="Normal1"/>
        <w:jc w:val="both"/>
        <w:rPr>
          <w:sz w:val="20"/>
          <w:szCs w:val="20"/>
        </w:rPr>
      </w:pPr>
      <w:r>
        <w:rPr>
          <w:vertAlign w:val="superscript"/>
        </w:rPr>
        <w:footnoteRef/>
      </w:r>
      <w:r>
        <w:rPr>
          <w:sz w:val="20"/>
          <w:szCs w:val="20"/>
        </w:rPr>
        <w:t xml:space="preserve"> Se alcanzaron niveles máximos de pobreza desde el año 2006 (tasa </w:t>
      </w:r>
      <w:proofErr w:type="gramStart"/>
      <w:r>
        <w:rPr>
          <w:sz w:val="20"/>
          <w:szCs w:val="20"/>
        </w:rPr>
        <w:t>del 37,9% traducidos</w:t>
      </w:r>
      <w:proofErr w:type="gramEnd"/>
      <w:r>
        <w:rPr>
          <w:sz w:val="20"/>
          <w:szCs w:val="20"/>
        </w:rPr>
        <w:t xml:space="preserve"> en 17,1 millones de personas en situación de pobreza). La tasa aumentó casi 10 p.p. desde la última medición del gobierno anterior (4to Trimestre 2015). La tasa de indigencia alcanzó a fines de 2019 el 8,4% (3,8 millones de personas que no cuentan con los ingresos necesarios para acceder a la canasta alimentaria). La incidencia de la pobreza en los niños y niñas de la Argentina afecta aproximadamente al 55,8%. En lo que respecta al mercado laboral, se observó un aumento de las modalidades de empleo precarias, trabajos informales y de subsistencia (9 de cada 10 nuevos empleos pertenecieron a este amplio segmento). El nivel general de salarios en términos reales cayó un -17,4%, viéndose fuertemente castigado el sector informal, con un recorte en sus ingresos del -25,4%. Para mayor detalle, ver “</w:t>
      </w:r>
      <w:r>
        <w:rPr>
          <w:b/>
          <w:i/>
          <w:sz w:val="20"/>
          <w:szCs w:val="20"/>
        </w:rPr>
        <w:t>38% de pobreza y más del 8% de indigencia. La miserable herencia que nos dejó cambiemos para afrontar el COVID-19</w:t>
      </w:r>
      <w:r>
        <w:rPr>
          <w:sz w:val="20"/>
          <w:szCs w:val="20"/>
        </w:rPr>
        <w:t>” en</w:t>
      </w:r>
      <w:hyperlink r:id="rId1"/>
      <w:hyperlink r:id="rId2">
        <w:r>
          <w:rPr>
            <w:color w:val="1155CC"/>
            <w:sz w:val="20"/>
            <w:szCs w:val="20"/>
            <w:u w:val="single"/>
          </w:rPr>
          <w:t>www.ipypp.org.ar</w:t>
        </w:r>
      </w:hyperlink>
    </w:p>
  </w:footnote>
  <w:footnote w:id="2">
    <w:p w:rsidR="00B24C84" w:rsidRPr="0012496D" w:rsidRDefault="00B24C84" w:rsidP="00B411AF">
      <w:pPr>
        <w:pStyle w:val="Textonotapie"/>
        <w:jc w:val="both"/>
        <w:rPr>
          <w:lang w:val="es-AR"/>
        </w:rPr>
      </w:pPr>
      <w:r>
        <w:rPr>
          <w:rStyle w:val="Refdenotaalpie"/>
        </w:rPr>
        <w:footnoteRef/>
      </w:r>
      <w:r>
        <w:t xml:space="preserve"> </w:t>
      </w:r>
      <w:r w:rsidRPr="0012496D">
        <w:t>Los Estados de los países de la eurozona –que tampoco avanzan en los gravámenes a los sectores de altos ingresos, rentas y patrimonios- están destinando entre 13 y 20% del PIB a este tipo de ayudas, financiada por los fiscos, habiendo algunos casos de porte de fondos privados. El Periódico, 23 de marzo de 2020, en elperiodico.com/es.</w:t>
      </w:r>
    </w:p>
  </w:footnote>
  <w:footnote w:id="3">
    <w:p w:rsidR="00B24C84" w:rsidRDefault="00B24C84">
      <w:pPr>
        <w:pStyle w:val="Normal1"/>
        <w:jc w:val="both"/>
        <w:rPr>
          <w:sz w:val="20"/>
          <w:szCs w:val="20"/>
        </w:rPr>
      </w:pPr>
      <w:r>
        <w:rPr>
          <w:vertAlign w:val="superscript"/>
        </w:rPr>
        <w:footnoteRef/>
      </w:r>
      <w:r>
        <w:rPr>
          <w:sz w:val="20"/>
          <w:szCs w:val="20"/>
        </w:rPr>
        <w:t>Ver “</w:t>
      </w:r>
      <w:r>
        <w:rPr>
          <w:b/>
          <w:i/>
          <w:sz w:val="20"/>
          <w:szCs w:val="20"/>
        </w:rPr>
        <w:t>La Edad Media y la Corona-Coyuntura. El aporte de los que más tienen” y “Que aporten los que más tienen (II). Techint y su desafío a la paz social</w:t>
      </w:r>
      <w:r>
        <w:rPr>
          <w:sz w:val="20"/>
          <w:szCs w:val="20"/>
        </w:rPr>
        <w:t>” en</w:t>
      </w:r>
      <w:hyperlink r:id="rId3"/>
      <w:hyperlink r:id="rId4">
        <w:r>
          <w:rPr>
            <w:color w:val="1155CC"/>
            <w:sz w:val="20"/>
            <w:szCs w:val="20"/>
            <w:u w:val="single"/>
          </w:rPr>
          <w:t>www.ipypp.org.ar</w:t>
        </w:r>
      </w:hyperlink>
    </w:p>
  </w:footnote>
  <w:footnote w:id="4">
    <w:p w:rsidR="00B24C84" w:rsidRDefault="00B24C84">
      <w:pPr>
        <w:pStyle w:val="Normal1"/>
        <w:jc w:val="both"/>
        <w:rPr>
          <w:sz w:val="20"/>
          <w:szCs w:val="20"/>
          <w:highlight w:val="yellow"/>
        </w:rPr>
      </w:pPr>
      <w:r>
        <w:rPr>
          <w:vertAlign w:val="superscript"/>
        </w:rPr>
        <w:footnoteRef/>
      </w:r>
      <w:r>
        <w:rPr>
          <w:sz w:val="20"/>
          <w:szCs w:val="20"/>
        </w:rPr>
        <w:t>A los fines de hacer comparable la información internacional, el Banco Mundial estandariza los datos de recaudación tributaria, tomando en consideración a las transferencias unilaterales al gobierno central con fines públicos, excluyendo de su estimación ciertas transferencias obligatorias, como multas, sanciones y la mayoría de las contribuciones a la seguridad social, recursos que, en algunos países como la Argentina, explican buena parte del financiamiento del Estado nacional.</w:t>
      </w:r>
    </w:p>
    <w:p w:rsidR="00B24C84" w:rsidRDefault="00B24C84">
      <w:pPr>
        <w:pStyle w:val="Normal1"/>
        <w:jc w:val="both"/>
        <w:rPr>
          <w:b/>
          <w:u w:val="single"/>
        </w:rPr>
      </w:pPr>
    </w:p>
    <w:p w:rsidR="00B24C84" w:rsidRDefault="00B24C84">
      <w:pPr>
        <w:pStyle w:val="Normal1"/>
        <w:rPr>
          <w:sz w:val="20"/>
          <w:szCs w:val="20"/>
        </w:rPr>
      </w:pPr>
    </w:p>
  </w:footnote>
  <w:footnote w:id="5">
    <w:p w:rsidR="00B24C84" w:rsidRDefault="00B24C84">
      <w:pPr>
        <w:pStyle w:val="Normal1"/>
        <w:rPr>
          <w:sz w:val="20"/>
          <w:szCs w:val="20"/>
        </w:rPr>
      </w:pPr>
      <w:r>
        <w:rPr>
          <w:vertAlign w:val="superscript"/>
        </w:rPr>
        <w:footnoteRef/>
      </w:r>
      <w:r>
        <w:rPr>
          <w:sz w:val="20"/>
          <w:szCs w:val="20"/>
        </w:rPr>
        <w:t>“</w:t>
      </w:r>
      <w:r>
        <w:rPr>
          <w:i/>
          <w:sz w:val="20"/>
          <w:szCs w:val="20"/>
        </w:rPr>
        <w:t>La Presión Fiscal Equivalente en América Latina y el Caribe- Un análisis de los hechos estilizados durante la última década”</w:t>
      </w:r>
      <w:r>
        <w:rPr>
          <w:sz w:val="20"/>
          <w:szCs w:val="20"/>
        </w:rPr>
        <w:t xml:space="preserve">.  Rojas y Morán, 2019. </w:t>
      </w:r>
    </w:p>
  </w:footnote>
  <w:footnote w:id="6">
    <w:p w:rsidR="00B24C84" w:rsidRPr="000D5190" w:rsidRDefault="00B24C84" w:rsidP="000D5190">
      <w:pPr>
        <w:pStyle w:val="Textonotapie"/>
        <w:rPr>
          <w:lang w:val="es-AR"/>
        </w:rPr>
      </w:pPr>
      <w:r>
        <w:rPr>
          <w:rStyle w:val="Refdenotaalpie"/>
        </w:rPr>
        <w:footnoteRef/>
      </w:r>
      <w:r>
        <w:t xml:space="preserve"> </w:t>
      </w:r>
      <w:r>
        <w:rPr>
          <w:lang w:val="es-AR"/>
        </w:rPr>
        <w:t xml:space="preserve">Para más detalle ver, IPyPP (2017): “Reforma Tributaria. Primeras precisiones. </w:t>
      </w:r>
      <w:r w:rsidRPr="000D5190">
        <w:rPr>
          <w:lang w:val="es-AR"/>
        </w:rPr>
        <w:t>Una reforma con vocación deficitaria y a medida de la clase dominante</w:t>
      </w:r>
      <w:r>
        <w:rPr>
          <w:lang w:val="es-AR"/>
        </w:rPr>
        <w:t>”</w:t>
      </w:r>
    </w:p>
  </w:footnote>
  <w:footnote w:id="7">
    <w:p w:rsidR="00B24C84" w:rsidRDefault="00B24C84">
      <w:pPr>
        <w:pStyle w:val="Normal1"/>
        <w:rPr>
          <w:sz w:val="20"/>
          <w:szCs w:val="20"/>
        </w:rPr>
      </w:pPr>
      <w:r>
        <w:rPr>
          <w:vertAlign w:val="superscript"/>
        </w:rPr>
        <w:footnoteRef/>
      </w:r>
      <w:r>
        <w:rPr>
          <w:sz w:val="20"/>
          <w:szCs w:val="20"/>
        </w:rPr>
        <w:t xml:space="preserve">Fuente: </w:t>
      </w:r>
      <w:proofErr w:type="spellStart"/>
      <w:r>
        <w:rPr>
          <w:sz w:val="20"/>
          <w:szCs w:val="20"/>
        </w:rPr>
        <w:t>Deloitte</w:t>
      </w:r>
      <w:proofErr w:type="spellEnd"/>
      <w:r>
        <w:rPr>
          <w:sz w:val="20"/>
          <w:szCs w:val="20"/>
        </w:rPr>
        <w:t xml:space="preserve"> International </w:t>
      </w:r>
      <w:proofErr w:type="spellStart"/>
      <w:r>
        <w:rPr>
          <w:sz w:val="20"/>
          <w:szCs w:val="20"/>
        </w:rPr>
        <w:t>TaxSource</w:t>
      </w:r>
      <w:proofErr w:type="spellEnd"/>
    </w:p>
  </w:footnote>
  <w:footnote w:id="8">
    <w:p w:rsidR="00B24C84" w:rsidRPr="00423913" w:rsidRDefault="00B24C84" w:rsidP="00423913">
      <w:pPr>
        <w:pStyle w:val="Textonotapie"/>
        <w:rPr>
          <w:lang w:val="es-AR"/>
        </w:rPr>
      </w:pPr>
      <w:r>
        <w:rPr>
          <w:rStyle w:val="Refdenotaalpie"/>
        </w:rPr>
        <w:footnoteRef/>
      </w:r>
      <w:r>
        <w:t xml:space="preserve"> </w:t>
      </w:r>
      <w:r>
        <w:rPr>
          <w:lang w:val="es-AR"/>
        </w:rPr>
        <w:t>Para más detalle ver “L</w:t>
      </w:r>
      <w:r w:rsidRPr="00423913">
        <w:rPr>
          <w:lang w:val="es-AR"/>
        </w:rPr>
        <w:t>a e</w:t>
      </w:r>
      <w:r>
        <w:rPr>
          <w:lang w:val="es-AR"/>
        </w:rPr>
        <w:t xml:space="preserve">dad media y la corona-coyuntura. El aporte de los que más tienen: </w:t>
      </w:r>
      <w:r w:rsidRPr="00423913">
        <w:rPr>
          <w:lang w:val="es-AR"/>
        </w:rPr>
        <w:t>las</w:t>
      </w:r>
      <w:r>
        <w:rPr>
          <w:lang w:val="es-AR"/>
        </w:rPr>
        <w:t xml:space="preserve"> grandes empresas y la pandemia. Una receta anti-T</w:t>
      </w:r>
      <w:r w:rsidRPr="00423913">
        <w:rPr>
          <w:lang w:val="es-AR"/>
        </w:rPr>
        <w:t>echint</w:t>
      </w:r>
      <w:r>
        <w:rPr>
          <w:lang w:val="es-AR"/>
        </w:rPr>
        <w:t>”. www.ipypp.gob.ar</w:t>
      </w:r>
    </w:p>
  </w:footnote>
  <w:footnote w:id="9">
    <w:p w:rsidR="00B24C84" w:rsidRPr="00423913" w:rsidRDefault="00B24C84" w:rsidP="00D86EBA">
      <w:pPr>
        <w:pStyle w:val="Textonotapie"/>
        <w:rPr>
          <w:lang w:val="es-AR"/>
        </w:rPr>
      </w:pPr>
      <w:r>
        <w:rPr>
          <w:rStyle w:val="Refdenotaalpie"/>
        </w:rPr>
        <w:footnoteRef/>
      </w:r>
      <w:r>
        <w:t xml:space="preserve"> </w:t>
      </w:r>
      <w:proofErr w:type="spellStart"/>
      <w:r>
        <w:rPr>
          <w:lang w:val="es-AR"/>
        </w:rPr>
        <w:t>Wealth</w:t>
      </w:r>
      <w:proofErr w:type="spellEnd"/>
      <w:r>
        <w:rPr>
          <w:lang w:val="es-AR"/>
        </w:rPr>
        <w:t xml:space="preserve"> X y </w:t>
      </w:r>
      <w:proofErr w:type="spellStart"/>
      <w:r>
        <w:rPr>
          <w:lang w:val="es-AR"/>
        </w:rPr>
        <w:t>Capgemini</w:t>
      </w:r>
      <w:proofErr w:type="spellEnd"/>
      <w:r>
        <w:rPr>
          <w:lang w:val="es-AR"/>
        </w:rPr>
        <w:t xml:space="preserve"> (2016)</w:t>
      </w:r>
    </w:p>
  </w:footnote>
  <w:footnote w:id="10">
    <w:p w:rsidR="00B24C84" w:rsidRPr="000C6379" w:rsidRDefault="00B24C84" w:rsidP="007B375D">
      <w:pPr>
        <w:pStyle w:val="Textonotapie"/>
        <w:jc w:val="both"/>
      </w:pPr>
      <w:r>
        <w:rPr>
          <w:rStyle w:val="Refdenotaalpie"/>
        </w:rPr>
        <w:footnoteRef/>
      </w:r>
      <w:r>
        <w:t xml:space="preserve"> La ingeniaría internacional inició con anterioridad, en el 2012, en el 2014 se dieron avances importantes en materia de acuerdos y los primeros resultados se obtuvieron en el 2017.  En primer lugar, el gobierno nacional firmó la </w:t>
      </w:r>
      <w:r w:rsidRPr="000C6379">
        <w:rPr>
          <w:i/>
          <w:iCs/>
        </w:rPr>
        <w:t>Convención sobre Asistencia Administrativa Mutua en Materia Fiscal</w:t>
      </w:r>
      <w:r>
        <w:rPr>
          <w:i/>
          <w:iCs/>
        </w:rPr>
        <w:t>,</w:t>
      </w:r>
      <w:r>
        <w:t xml:space="preserve"> luego adhirió a la</w:t>
      </w:r>
      <w:r w:rsidRPr="000C6379">
        <w:t xml:space="preserve"> </w:t>
      </w:r>
      <w:r w:rsidRPr="000C6379">
        <w:rPr>
          <w:i/>
          <w:iCs/>
        </w:rPr>
        <w:t>Declaración sobre el Intercambio Automático de Información en Materia Fiscal</w:t>
      </w:r>
      <w:r>
        <w:rPr>
          <w:i/>
          <w:iCs/>
        </w:rPr>
        <w:t xml:space="preserve"> </w:t>
      </w:r>
      <w:r w:rsidRPr="000C6379">
        <w:rPr>
          <w:i/>
          <w:iCs/>
        </w:rPr>
        <w:t>el Acuerdo Multilateral entre Autoridades Competente</w:t>
      </w:r>
      <w:r>
        <w:rPr>
          <w:i/>
          <w:iCs/>
        </w:rPr>
        <w:t xml:space="preserve">s. </w:t>
      </w:r>
      <w:r>
        <w:t>De esta manera, nuestro país quedó comprometido con el</w:t>
      </w:r>
      <w:r w:rsidRPr="007B375D">
        <w:t xml:space="preserve"> </w:t>
      </w:r>
      <w:proofErr w:type="spellStart"/>
      <w:r w:rsidRPr="007B375D">
        <w:t>Estándar</w:t>
      </w:r>
      <w:proofErr w:type="spellEnd"/>
      <w:r w:rsidRPr="007B375D">
        <w:t xml:space="preserve"> </w:t>
      </w:r>
      <w:proofErr w:type="spellStart"/>
      <w:r w:rsidRPr="007B375D">
        <w:t>Común</w:t>
      </w:r>
      <w:proofErr w:type="spellEnd"/>
      <w:r w:rsidRPr="007B375D">
        <w:t xml:space="preserve"> de Reporte (ECR/CRS)</w:t>
      </w:r>
      <w:r>
        <w:t xml:space="preserve">. Este consiste en </w:t>
      </w:r>
      <w:r w:rsidRPr="00154F41">
        <w:t xml:space="preserve">modelo de intercambio automático de información </w:t>
      </w:r>
      <w:r>
        <w:t>bajo</w:t>
      </w:r>
      <w:r w:rsidRPr="00154F41">
        <w:t xml:space="preserve"> un </w:t>
      </w:r>
      <w:proofErr w:type="spellStart"/>
      <w:r w:rsidRPr="00154F41">
        <w:t>estándar</w:t>
      </w:r>
      <w:proofErr w:type="spellEnd"/>
      <w:r w:rsidRPr="00154F41">
        <w:t xml:space="preserve"> </w:t>
      </w:r>
      <w:proofErr w:type="spellStart"/>
      <w:r w:rsidRPr="00154F41">
        <w:t>común</w:t>
      </w:r>
      <w:proofErr w:type="spellEnd"/>
      <w:r>
        <w:t xml:space="preserve">. Fue </w:t>
      </w:r>
      <w:r w:rsidRPr="007B375D">
        <w:t>desarrollado en respuesta al llamamiento del G-20 y aprobado por el Consejo de la OCDE el 15 de julio de 2014, insta a las jurisdicciones a obtener información sobre sus instituciones financieras e a intercambiar automáticamente esta información con otras jurisdicciones anualmente</w:t>
      </w:r>
      <w:r>
        <w:t>.</w:t>
      </w:r>
      <w:r>
        <w:rPr>
          <w:i/>
          <w:iCs/>
        </w:rPr>
        <w:t xml:space="preserve"> </w:t>
      </w:r>
    </w:p>
  </w:footnote>
  <w:footnote w:id="11">
    <w:p w:rsidR="00B24C84" w:rsidRPr="00E374D9" w:rsidRDefault="00B24C84">
      <w:pPr>
        <w:pStyle w:val="Textonotapie"/>
        <w:rPr>
          <w:lang w:val="es-AR"/>
        </w:rPr>
      </w:pPr>
      <w:r>
        <w:rPr>
          <w:rStyle w:val="Refdenotaalpie"/>
        </w:rPr>
        <w:footnoteRef/>
      </w:r>
      <w:r>
        <w:t xml:space="preserve"> Q</w:t>
      </w:r>
      <w:r w:rsidRPr="00E374D9">
        <w:t>ue no se reduzca por la mera repatriación del 5% de las fortunas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C84" w:rsidRDefault="008D4937">
    <w:pPr>
      <w:pStyle w:val="Normal1"/>
      <w:jc w:val="right"/>
    </w:pPr>
    <w:r>
      <w:fldChar w:fldCharType="begin"/>
    </w:r>
    <w:r w:rsidR="00B24C84">
      <w:instrText>PAGE</w:instrText>
    </w:r>
    <w:r>
      <w:fldChar w:fldCharType="separate"/>
    </w:r>
    <w:r w:rsidR="009465FD">
      <w:rPr>
        <w:noProof/>
      </w:rPr>
      <w:t>1</w:t>
    </w:r>
    <w:r>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C84" w:rsidRDefault="00B24C84">
    <w:pPr>
      <w:pStyle w:val="Normal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831D2"/>
    <w:multiLevelType w:val="multilevel"/>
    <w:tmpl w:val="06D21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66B7617"/>
    <w:multiLevelType w:val="hybridMultilevel"/>
    <w:tmpl w:val="356CBEA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FF67750"/>
    <w:multiLevelType w:val="hybridMultilevel"/>
    <w:tmpl w:val="F6ACAEA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82F71BE"/>
    <w:multiLevelType w:val="multilevel"/>
    <w:tmpl w:val="A54E1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0290E12"/>
    <w:multiLevelType w:val="multilevel"/>
    <w:tmpl w:val="0960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170222"/>
    <w:multiLevelType w:val="hybridMultilevel"/>
    <w:tmpl w:val="4510C5D8"/>
    <w:lvl w:ilvl="0" w:tplc="886AF36E">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rsids>
    <w:rsidRoot w:val="00981CEB"/>
    <w:rsid w:val="00003A32"/>
    <w:rsid w:val="00005278"/>
    <w:rsid w:val="000106EA"/>
    <w:rsid w:val="00015730"/>
    <w:rsid w:val="000166DF"/>
    <w:rsid w:val="00026EA1"/>
    <w:rsid w:val="000302ED"/>
    <w:rsid w:val="00055164"/>
    <w:rsid w:val="00055FE2"/>
    <w:rsid w:val="00057BB0"/>
    <w:rsid w:val="0007096A"/>
    <w:rsid w:val="00081F06"/>
    <w:rsid w:val="00085F70"/>
    <w:rsid w:val="000B03F4"/>
    <w:rsid w:val="000B481B"/>
    <w:rsid w:val="000B5A57"/>
    <w:rsid w:val="000C6379"/>
    <w:rsid w:val="000C6570"/>
    <w:rsid w:val="000D041E"/>
    <w:rsid w:val="000D5190"/>
    <w:rsid w:val="000D52C0"/>
    <w:rsid w:val="000D6600"/>
    <w:rsid w:val="000E1A3B"/>
    <w:rsid w:val="000F1AF7"/>
    <w:rsid w:val="000F7173"/>
    <w:rsid w:val="00117BED"/>
    <w:rsid w:val="0012496D"/>
    <w:rsid w:val="00136795"/>
    <w:rsid w:val="00137C6E"/>
    <w:rsid w:val="00140E7A"/>
    <w:rsid w:val="0014240D"/>
    <w:rsid w:val="00144D9B"/>
    <w:rsid w:val="00145D0F"/>
    <w:rsid w:val="00150E3C"/>
    <w:rsid w:val="00151E9D"/>
    <w:rsid w:val="00151F13"/>
    <w:rsid w:val="00154F41"/>
    <w:rsid w:val="00167E68"/>
    <w:rsid w:val="00171DF8"/>
    <w:rsid w:val="00173186"/>
    <w:rsid w:val="001768DB"/>
    <w:rsid w:val="00185B82"/>
    <w:rsid w:val="00186F42"/>
    <w:rsid w:val="0018713F"/>
    <w:rsid w:val="00191880"/>
    <w:rsid w:val="001A049D"/>
    <w:rsid w:val="001B1241"/>
    <w:rsid w:val="001C7440"/>
    <w:rsid w:val="001D2A74"/>
    <w:rsid w:val="001E1645"/>
    <w:rsid w:val="001E3EDA"/>
    <w:rsid w:val="001F15DF"/>
    <w:rsid w:val="001F627D"/>
    <w:rsid w:val="00201D53"/>
    <w:rsid w:val="002031D5"/>
    <w:rsid w:val="002121A0"/>
    <w:rsid w:val="00213FC7"/>
    <w:rsid w:val="00216F65"/>
    <w:rsid w:val="00221CBE"/>
    <w:rsid w:val="0023700E"/>
    <w:rsid w:val="00237EF6"/>
    <w:rsid w:val="00254A39"/>
    <w:rsid w:val="002553F7"/>
    <w:rsid w:val="00255B37"/>
    <w:rsid w:val="0026549C"/>
    <w:rsid w:val="002733C1"/>
    <w:rsid w:val="0027432B"/>
    <w:rsid w:val="00283545"/>
    <w:rsid w:val="00285DFA"/>
    <w:rsid w:val="00297D2E"/>
    <w:rsid w:val="002A50EA"/>
    <w:rsid w:val="002A6C92"/>
    <w:rsid w:val="002A7522"/>
    <w:rsid w:val="002A784A"/>
    <w:rsid w:val="002B1C2B"/>
    <w:rsid w:val="002B7368"/>
    <w:rsid w:val="002C0CDD"/>
    <w:rsid w:val="002C55C0"/>
    <w:rsid w:val="002E2AEF"/>
    <w:rsid w:val="002E50C3"/>
    <w:rsid w:val="00300A04"/>
    <w:rsid w:val="00302829"/>
    <w:rsid w:val="003129D8"/>
    <w:rsid w:val="00322954"/>
    <w:rsid w:val="00323546"/>
    <w:rsid w:val="00332D97"/>
    <w:rsid w:val="00333559"/>
    <w:rsid w:val="00333E57"/>
    <w:rsid w:val="00340402"/>
    <w:rsid w:val="003405F0"/>
    <w:rsid w:val="00341EBE"/>
    <w:rsid w:val="00350C34"/>
    <w:rsid w:val="00351D3A"/>
    <w:rsid w:val="00351DF9"/>
    <w:rsid w:val="00353FF0"/>
    <w:rsid w:val="0036499D"/>
    <w:rsid w:val="0038418E"/>
    <w:rsid w:val="00385A63"/>
    <w:rsid w:val="00391F75"/>
    <w:rsid w:val="003A63DA"/>
    <w:rsid w:val="003A6A96"/>
    <w:rsid w:val="003B1EAA"/>
    <w:rsid w:val="003B2485"/>
    <w:rsid w:val="003B2B37"/>
    <w:rsid w:val="003B30DD"/>
    <w:rsid w:val="003B4F01"/>
    <w:rsid w:val="003C2588"/>
    <w:rsid w:val="003D4124"/>
    <w:rsid w:val="003D45E8"/>
    <w:rsid w:val="003D7737"/>
    <w:rsid w:val="003E20FB"/>
    <w:rsid w:val="003F2E64"/>
    <w:rsid w:val="0040162B"/>
    <w:rsid w:val="00401BD7"/>
    <w:rsid w:val="00405F27"/>
    <w:rsid w:val="00406730"/>
    <w:rsid w:val="00416F09"/>
    <w:rsid w:val="00423913"/>
    <w:rsid w:val="004604F5"/>
    <w:rsid w:val="00461E24"/>
    <w:rsid w:val="00463860"/>
    <w:rsid w:val="0048013F"/>
    <w:rsid w:val="00481E1A"/>
    <w:rsid w:val="00483C62"/>
    <w:rsid w:val="00484AD4"/>
    <w:rsid w:val="00495BAD"/>
    <w:rsid w:val="004A5B5E"/>
    <w:rsid w:val="004A5CC8"/>
    <w:rsid w:val="004B1733"/>
    <w:rsid w:val="004C106A"/>
    <w:rsid w:val="004D30F1"/>
    <w:rsid w:val="004D5A81"/>
    <w:rsid w:val="004E7B41"/>
    <w:rsid w:val="004F3F9D"/>
    <w:rsid w:val="004F7EF4"/>
    <w:rsid w:val="00507B0A"/>
    <w:rsid w:val="00511752"/>
    <w:rsid w:val="00512C9D"/>
    <w:rsid w:val="00536356"/>
    <w:rsid w:val="005363B1"/>
    <w:rsid w:val="00551714"/>
    <w:rsid w:val="00574894"/>
    <w:rsid w:val="005813CC"/>
    <w:rsid w:val="005842BC"/>
    <w:rsid w:val="005850B7"/>
    <w:rsid w:val="00592127"/>
    <w:rsid w:val="00596667"/>
    <w:rsid w:val="005A4EC0"/>
    <w:rsid w:val="005A511A"/>
    <w:rsid w:val="005A5C6F"/>
    <w:rsid w:val="005A7832"/>
    <w:rsid w:val="005B128A"/>
    <w:rsid w:val="005B3EFB"/>
    <w:rsid w:val="005B3FFE"/>
    <w:rsid w:val="005D0E3F"/>
    <w:rsid w:val="005E1E84"/>
    <w:rsid w:val="005E22A8"/>
    <w:rsid w:val="005E33E1"/>
    <w:rsid w:val="005E6723"/>
    <w:rsid w:val="005F0924"/>
    <w:rsid w:val="005F1808"/>
    <w:rsid w:val="006017D1"/>
    <w:rsid w:val="00606B92"/>
    <w:rsid w:val="00607A96"/>
    <w:rsid w:val="00621C63"/>
    <w:rsid w:val="00634125"/>
    <w:rsid w:val="006420B1"/>
    <w:rsid w:val="00655EDC"/>
    <w:rsid w:val="0065618A"/>
    <w:rsid w:val="006571C7"/>
    <w:rsid w:val="00664154"/>
    <w:rsid w:val="006766D0"/>
    <w:rsid w:val="0068476F"/>
    <w:rsid w:val="00687410"/>
    <w:rsid w:val="00694632"/>
    <w:rsid w:val="00696684"/>
    <w:rsid w:val="00696D7B"/>
    <w:rsid w:val="006A3042"/>
    <w:rsid w:val="006B59D4"/>
    <w:rsid w:val="006B63FC"/>
    <w:rsid w:val="006C42E9"/>
    <w:rsid w:val="006D0E4B"/>
    <w:rsid w:val="006D2904"/>
    <w:rsid w:val="006E5C0A"/>
    <w:rsid w:val="006F37C4"/>
    <w:rsid w:val="00700009"/>
    <w:rsid w:val="0070317E"/>
    <w:rsid w:val="00710D02"/>
    <w:rsid w:val="00714463"/>
    <w:rsid w:val="00715D08"/>
    <w:rsid w:val="0073566D"/>
    <w:rsid w:val="00737F34"/>
    <w:rsid w:val="00751F02"/>
    <w:rsid w:val="00755B7B"/>
    <w:rsid w:val="00757008"/>
    <w:rsid w:val="00765D7D"/>
    <w:rsid w:val="00780265"/>
    <w:rsid w:val="00790A7B"/>
    <w:rsid w:val="0079559C"/>
    <w:rsid w:val="00796141"/>
    <w:rsid w:val="00796DCA"/>
    <w:rsid w:val="007B375D"/>
    <w:rsid w:val="007B56D5"/>
    <w:rsid w:val="007C6906"/>
    <w:rsid w:val="007D2C31"/>
    <w:rsid w:val="007D3BF8"/>
    <w:rsid w:val="007D3C81"/>
    <w:rsid w:val="007D4EC4"/>
    <w:rsid w:val="007E05FA"/>
    <w:rsid w:val="007F2678"/>
    <w:rsid w:val="007F3799"/>
    <w:rsid w:val="008000EF"/>
    <w:rsid w:val="0081794A"/>
    <w:rsid w:val="0083064E"/>
    <w:rsid w:val="00850B7C"/>
    <w:rsid w:val="00876B31"/>
    <w:rsid w:val="008A20A1"/>
    <w:rsid w:val="008B0F10"/>
    <w:rsid w:val="008B6286"/>
    <w:rsid w:val="008C10C7"/>
    <w:rsid w:val="008C6EA3"/>
    <w:rsid w:val="008D1AA9"/>
    <w:rsid w:val="008D4937"/>
    <w:rsid w:val="0090353B"/>
    <w:rsid w:val="00934037"/>
    <w:rsid w:val="00940ED4"/>
    <w:rsid w:val="0094319B"/>
    <w:rsid w:val="009465FD"/>
    <w:rsid w:val="0097200C"/>
    <w:rsid w:val="0097650F"/>
    <w:rsid w:val="00977F43"/>
    <w:rsid w:val="00981CEB"/>
    <w:rsid w:val="00995752"/>
    <w:rsid w:val="00997456"/>
    <w:rsid w:val="009B327A"/>
    <w:rsid w:val="009C1E0D"/>
    <w:rsid w:val="009C4834"/>
    <w:rsid w:val="009D146B"/>
    <w:rsid w:val="009F10A4"/>
    <w:rsid w:val="009F2202"/>
    <w:rsid w:val="00A2680B"/>
    <w:rsid w:val="00A40CDA"/>
    <w:rsid w:val="00A70608"/>
    <w:rsid w:val="00A849C6"/>
    <w:rsid w:val="00A9377C"/>
    <w:rsid w:val="00A93A4C"/>
    <w:rsid w:val="00AA644A"/>
    <w:rsid w:val="00AB0D4E"/>
    <w:rsid w:val="00AC7067"/>
    <w:rsid w:val="00AD1C66"/>
    <w:rsid w:val="00AD5DCF"/>
    <w:rsid w:val="00AE2C58"/>
    <w:rsid w:val="00AF2E1E"/>
    <w:rsid w:val="00AF59EC"/>
    <w:rsid w:val="00AF6A38"/>
    <w:rsid w:val="00B0369A"/>
    <w:rsid w:val="00B24C84"/>
    <w:rsid w:val="00B272F6"/>
    <w:rsid w:val="00B3114A"/>
    <w:rsid w:val="00B411AF"/>
    <w:rsid w:val="00B56FFC"/>
    <w:rsid w:val="00B81A46"/>
    <w:rsid w:val="00B92506"/>
    <w:rsid w:val="00B976D3"/>
    <w:rsid w:val="00B97F36"/>
    <w:rsid w:val="00BB20E5"/>
    <w:rsid w:val="00BB459B"/>
    <w:rsid w:val="00BB4DD6"/>
    <w:rsid w:val="00BC1303"/>
    <w:rsid w:val="00BC7594"/>
    <w:rsid w:val="00BC799B"/>
    <w:rsid w:val="00BE4A67"/>
    <w:rsid w:val="00BF7F70"/>
    <w:rsid w:val="00C049D8"/>
    <w:rsid w:val="00C11296"/>
    <w:rsid w:val="00C21306"/>
    <w:rsid w:val="00C2228C"/>
    <w:rsid w:val="00C26E22"/>
    <w:rsid w:val="00C318F3"/>
    <w:rsid w:val="00C34562"/>
    <w:rsid w:val="00C46296"/>
    <w:rsid w:val="00C50DF4"/>
    <w:rsid w:val="00C5484B"/>
    <w:rsid w:val="00C63192"/>
    <w:rsid w:val="00C75261"/>
    <w:rsid w:val="00C8500C"/>
    <w:rsid w:val="00C959CF"/>
    <w:rsid w:val="00CB3851"/>
    <w:rsid w:val="00CB5C00"/>
    <w:rsid w:val="00CB6467"/>
    <w:rsid w:val="00CC3E84"/>
    <w:rsid w:val="00CC5FF3"/>
    <w:rsid w:val="00CE0184"/>
    <w:rsid w:val="00CE0BFE"/>
    <w:rsid w:val="00CE583E"/>
    <w:rsid w:val="00CF0A08"/>
    <w:rsid w:val="00D00AC7"/>
    <w:rsid w:val="00D03ECC"/>
    <w:rsid w:val="00D076AD"/>
    <w:rsid w:val="00D1547A"/>
    <w:rsid w:val="00D5493E"/>
    <w:rsid w:val="00D60A38"/>
    <w:rsid w:val="00D62472"/>
    <w:rsid w:val="00D755EB"/>
    <w:rsid w:val="00D75E75"/>
    <w:rsid w:val="00D7614E"/>
    <w:rsid w:val="00D76CBF"/>
    <w:rsid w:val="00D85308"/>
    <w:rsid w:val="00D86EBA"/>
    <w:rsid w:val="00DA3455"/>
    <w:rsid w:val="00DB618E"/>
    <w:rsid w:val="00DC4695"/>
    <w:rsid w:val="00DC600C"/>
    <w:rsid w:val="00DC74DF"/>
    <w:rsid w:val="00DC7A3F"/>
    <w:rsid w:val="00DF0974"/>
    <w:rsid w:val="00DF4435"/>
    <w:rsid w:val="00E003D0"/>
    <w:rsid w:val="00E01561"/>
    <w:rsid w:val="00E10D3D"/>
    <w:rsid w:val="00E166AB"/>
    <w:rsid w:val="00E22FCE"/>
    <w:rsid w:val="00E34ADF"/>
    <w:rsid w:val="00E374D9"/>
    <w:rsid w:val="00E50ED1"/>
    <w:rsid w:val="00E5638F"/>
    <w:rsid w:val="00E56668"/>
    <w:rsid w:val="00E6081B"/>
    <w:rsid w:val="00E75CA3"/>
    <w:rsid w:val="00E80C97"/>
    <w:rsid w:val="00E86986"/>
    <w:rsid w:val="00E92175"/>
    <w:rsid w:val="00E93FB1"/>
    <w:rsid w:val="00E94DA4"/>
    <w:rsid w:val="00E96398"/>
    <w:rsid w:val="00EA34DF"/>
    <w:rsid w:val="00EC3622"/>
    <w:rsid w:val="00EC3AA3"/>
    <w:rsid w:val="00ED37EF"/>
    <w:rsid w:val="00ED5257"/>
    <w:rsid w:val="00EE3CA9"/>
    <w:rsid w:val="00EF6F51"/>
    <w:rsid w:val="00F13906"/>
    <w:rsid w:val="00F147B5"/>
    <w:rsid w:val="00F25AD3"/>
    <w:rsid w:val="00F30F35"/>
    <w:rsid w:val="00F35D91"/>
    <w:rsid w:val="00F3646D"/>
    <w:rsid w:val="00F377B3"/>
    <w:rsid w:val="00F4470D"/>
    <w:rsid w:val="00F4640D"/>
    <w:rsid w:val="00F56504"/>
    <w:rsid w:val="00F6051E"/>
    <w:rsid w:val="00F65133"/>
    <w:rsid w:val="00F73B0E"/>
    <w:rsid w:val="00F76B64"/>
    <w:rsid w:val="00F8505E"/>
    <w:rsid w:val="00FB78D1"/>
    <w:rsid w:val="00FC32B1"/>
    <w:rsid w:val="00FD513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937"/>
  </w:style>
  <w:style w:type="paragraph" w:styleId="Ttulo1">
    <w:name w:val="heading 1"/>
    <w:basedOn w:val="Normal1"/>
    <w:next w:val="Normal1"/>
    <w:rsid w:val="008D4937"/>
    <w:pPr>
      <w:keepNext/>
      <w:keepLines/>
      <w:spacing w:before="480" w:after="120"/>
      <w:outlineLvl w:val="0"/>
    </w:pPr>
    <w:rPr>
      <w:b/>
      <w:sz w:val="48"/>
      <w:szCs w:val="48"/>
    </w:rPr>
  </w:style>
  <w:style w:type="paragraph" w:styleId="Ttulo2">
    <w:name w:val="heading 2"/>
    <w:basedOn w:val="Normal1"/>
    <w:next w:val="Normal1"/>
    <w:rsid w:val="008D4937"/>
    <w:pPr>
      <w:keepNext/>
      <w:keepLines/>
      <w:spacing w:before="360" w:after="80"/>
      <w:outlineLvl w:val="1"/>
    </w:pPr>
    <w:rPr>
      <w:b/>
      <w:sz w:val="36"/>
      <w:szCs w:val="36"/>
    </w:rPr>
  </w:style>
  <w:style w:type="paragraph" w:styleId="Ttulo3">
    <w:name w:val="heading 3"/>
    <w:basedOn w:val="Normal1"/>
    <w:next w:val="Normal1"/>
    <w:rsid w:val="008D4937"/>
    <w:pPr>
      <w:keepNext/>
      <w:keepLines/>
      <w:spacing w:before="280" w:after="80"/>
      <w:outlineLvl w:val="2"/>
    </w:pPr>
    <w:rPr>
      <w:b/>
      <w:sz w:val="28"/>
      <w:szCs w:val="28"/>
    </w:rPr>
  </w:style>
  <w:style w:type="paragraph" w:styleId="Ttulo4">
    <w:name w:val="heading 4"/>
    <w:basedOn w:val="Normal1"/>
    <w:next w:val="Normal1"/>
    <w:rsid w:val="008D4937"/>
    <w:pPr>
      <w:keepNext/>
      <w:keepLines/>
      <w:spacing w:before="240" w:after="40"/>
      <w:outlineLvl w:val="3"/>
    </w:pPr>
    <w:rPr>
      <w:b/>
    </w:rPr>
  </w:style>
  <w:style w:type="paragraph" w:styleId="Ttulo5">
    <w:name w:val="heading 5"/>
    <w:basedOn w:val="Normal1"/>
    <w:next w:val="Normal1"/>
    <w:rsid w:val="008D4937"/>
    <w:pPr>
      <w:keepNext/>
      <w:keepLines/>
      <w:spacing w:before="220" w:after="40"/>
      <w:outlineLvl w:val="4"/>
    </w:pPr>
    <w:rPr>
      <w:b/>
      <w:sz w:val="22"/>
      <w:szCs w:val="22"/>
    </w:rPr>
  </w:style>
  <w:style w:type="paragraph" w:styleId="Ttulo6">
    <w:name w:val="heading 6"/>
    <w:basedOn w:val="Normal1"/>
    <w:next w:val="Normal1"/>
    <w:rsid w:val="008D493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8D4937"/>
  </w:style>
  <w:style w:type="paragraph" w:styleId="Ttulo">
    <w:name w:val="Title"/>
    <w:basedOn w:val="Normal1"/>
    <w:next w:val="Normal1"/>
    <w:rsid w:val="008D4937"/>
    <w:pPr>
      <w:keepNext/>
      <w:keepLines/>
      <w:spacing w:before="480" w:after="120"/>
    </w:pPr>
    <w:rPr>
      <w:b/>
      <w:sz w:val="72"/>
      <w:szCs w:val="72"/>
    </w:rPr>
  </w:style>
  <w:style w:type="paragraph" w:styleId="Subttulo">
    <w:name w:val="Subtitle"/>
    <w:basedOn w:val="Normal1"/>
    <w:next w:val="Normal1"/>
    <w:rsid w:val="008D4937"/>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sid w:val="008D4937"/>
  </w:style>
  <w:style w:type="character" w:customStyle="1" w:styleId="TextocomentarioCar">
    <w:name w:val="Texto comentario Car"/>
    <w:basedOn w:val="Fuentedeprrafopredeter"/>
    <w:link w:val="Textocomentario"/>
    <w:uiPriority w:val="99"/>
    <w:semiHidden/>
    <w:rsid w:val="008D4937"/>
  </w:style>
  <w:style w:type="character" w:styleId="Refdecomentario">
    <w:name w:val="annotation reference"/>
    <w:basedOn w:val="Fuentedeprrafopredeter"/>
    <w:uiPriority w:val="99"/>
    <w:semiHidden/>
    <w:unhideWhenUsed/>
    <w:rsid w:val="008D4937"/>
    <w:rPr>
      <w:sz w:val="18"/>
      <w:szCs w:val="18"/>
    </w:rPr>
  </w:style>
  <w:style w:type="paragraph" w:styleId="Textodeglobo">
    <w:name w:val="Balloon Text"/>
    <w:basedOn w:val="Normal"/>
    <w:link w:val="TextodegloboCar"/>
    <w:uiPriority w:val="99"/>
    <w:semiHidden/>
    <w:unhideWhenUsed/>
    <w:rsid w:val="0017318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73186"/>
    <w:rPr>
      <w:rFonts w:ascii="Lucida Grande" w:hAnsi="Lucida Grande" w:cs="Lucida Grande"/>
      <w:sz w:val="18"/>
      <w:szCs w:val="18"/>
    </w:rPr>
  </w:style>
  <w:style w:type="paragraph" w:styleId="Piedepgina">
    <w:name w:val="footer"/>
    <w:basedOn w:val="Normal"/>
    <w:link w:val="PiedepginaCar"/>
    <w:uiPriority w:val="99"/>
    <w:unhideWhenUsed/>
    <w:rsid w:val="00C26E22"/>
    <w:pPr>
      <w:tabs>
        <w:tab w:val="center" w:pos="4153"/>
        <w:tab w:val="right" w:pos="8306"/>
      </w:tabs>
    </w:pPr>
  </w:style>
  <w:style w:type="character" w:customStyle="1" w:styleId="PiedepginaCar">
    <w:name w:val="Pie de página Car"/>
    <w:basedOn w:val="Fuentedeprrafopredeter"/>
    <w:link w:val="Piedepgina"/>
    <w:uiPriority w:val="99"/>
    <w:rsid w:val="00C26E22"/>
  </w:style>
  <w:style w:type="character" w:styleId="Nmerodepgina">
    <w:name w:val="page number"/>
    <w:basedOn w:val="Fuentedeprrafopredeter"/>
    <w:uiPriority w:val="99"/>
    <w:semiHidden/>
    <w:unhideWhenUsed/>
    <w:rsid w:val="00C26E22"/>
  </w:style>
  <w:style w:type="paragraph" w:styleId="Textonotapie">
    <w:name w:val="footnote text"/>
    <w:basedOn w:val="Normal"/>
    <w:link w:val="TextonotapieCar"/>
    <w:uiPriority w:val="99"/>
    <w:unhideWhenUsed/>
    <w:rsid w:val="000D5190"/>
    <w:rPr>
      <w:sz w:val="20"/>
      <w:szCs w:val="20"/>
    </w:rPr>
  </w:style>
  <w:style w:type="character" w:customStyle="1" w:styleId="TextonotapieCar">
    <w:name w:val="Texto nota pie Car"/>
    <w:basedOn w:val="Fuentedeprrafopredeter"/>
    <w:link w:val="Textonotapie"/>
    <w:uiPriority w:val="99"/>
    <w:rsid w:val="000D5190"/>
    <w:rPr>
      <w:sz w:val="20"/>
      <w:szCs w:val="20"/>
    </w:rPr>
  </w:style>
  <w:style w:type="character" w:styleId="Refdenotaalpie">
    <w:name w:val="footnote reference"/>
    <w:basedOn w:val="Fuentedeprrafopredeter"/>
    <w:uiPriority w:val="99"/>
    <w:semiHidden/>
    <w:unhideWhenUsed/>
    <w:rsid w:val="000D5190"/>
    <w:rPr>
      <w:vertAlign w:val="superscript"/>
    </w:rPr>
  </w:style>
  <w:style w:type="paragraph" w:styleId="Prrafodelista">
    <w:name w:val="List Paragraph"/>
    <w:basedOn w:val="Normal"/>
    <w:uiPriority w:val="34"/>
    <w:qFormat/>
    <w:rsid w:val="00137C6E"/>
    <w:pPr>
      <w:ind w:left="720"/>
      <w:contextualSpacing/>
    </w:pPr>
  </w:style>
  <w:style w:type="paragraph" w:customStyle="1" w:styleId="Normal10">
    <w:name w:val="Normal1"/>
    <w:rsid w:val="00EF6F51"/>
  </w:style>
  <w:style w:type="character" w:customStyle="1" w:styleId="apple-converted-space">
    <w:name w:val="apple-converted-space"/>
    <w:basedOn w:val="Fuentedeprrafopredeter"/>
    <w:rsid w:val="009C1E0D"/>
  </w:style>
  <w:style w:type="paragraph" w:customStyle="1" w:styleId="trt0xe">
    <w:name w:val="trt0xe"/>
    <w:basedOn w:val="Normal"/>
    <w:rsid w:val="00D755EB"/>
    <w:pPr>
      <w:spacing w:before="100" w:beforeAutospacing="1" w:after="100" w:afterAutospacing="1"/>
    </w:pPr>
    <w:rPr>
      <w:rFonts w:ascii="Times New Roman" w:eastAsia="Times New Roman" w:hAnsi="Times New Roman" w:cs="Times New Roman"/>
      <w:lang w:val="es-AR" w:eastAsia="es-ES_tradnl"/>
    </w:rPr>
  </w:style>
</w:styles>
</file>

<file path=word/webSettings.xml><?xml version="1.0" encoding="utf-8"?>
<w:webSettings xmlns:r="http://schemas.openxmlformats.org/officeDocument/2006/relationships" xmlns:w="http://schemas.openxmlformats.org/wordprocessingml/2006/main">
  <w:divs>
    <w:div w:id="333806142">
      <w:bodyDiv w:val="1"/>
      <w:marLeft w:val="0"/>
      <w:marRight w:val="0"/>
      <w:marTop w:val="0"/>
      <w:marBottom w:val="0"/>
      <w:divBdr>
        <w:top w:val="none" w:sz="0" w:space="0" w:color="auto"/>
        <w:left w:val="none" w:sz="0" w:space="0" w:color="auto"/>
        <w:bottom w:val="none" w:sz="0" w:space="0" w:color="auto"/>
        <w:right w:val="none" w:sz="0" w:space="0" w:color="auto"/>
      </w:divBdr>
    </w:div>
    <w:div w:id="522475417">
      <w:bodyDiv w:val="1"/>
      <w:marLeft w:val="0"/>
      <w:marRight w:val="0"/>
      <w:marTop w:val="0"/>
      <w:marBottom w:val="0"/>
      <w:divBdr>
        <w:top w:val="none" w:sz="0" w:space="0" w:color="auto"/>
        <w:left w:val="none" w:sz="0" w:space="0" w:color="auto"/>
        <w:bottom w:val="none" w:sz="0" w:space="0" w:color="auto"/>
        <w:right w:val="none" w:sz="0" w:space="0" w:color="auto"/>
      </w:divBdr>
    </w:div>
    <w:div w:id="876694616">
      <w:bodyDiv w:val="1"/>
      <w:marLeft w:val="0"/>
      <w:marRight w:val="0"/>
      <w:marTop w:val="0"/>
      <w:marBottom w:val="0"/>
      <w:divBdr>
        <w:top w:val="none" w:sz="0" w:space="0" w:color="auto"/>
        <w:left w:val="none" w:sz="0" w:space="0" w:color="auto"/>
        <w:bottom w:val="none" w:sz="0" w:space="0" w:color="auto"/>
        <w:right w:val="none" w:sz="0" w:space="0" w:color="auto"/>
      </w:divBdr>
    </w:div>
    <w:div w:id="956761820">
      <w:bodyDiv w:val="1"/>
      <w:marLeft w:val="0"/>
      <w:marRight w:val="0"/>
      <w:marTop w:val="0"/>
      <w:marBottom w:val="0"/>
      <w:divBdr>
        <w:top w:val="none" w:sz="0" w:space="0" w:color="auto"/>
        <w:left w:val="none" w:sz="0" w:space="0" w:color="auto"/>
        <w:bottom w:val="none" w:sz="0" w:space="0" w:color="auto"/>
        <w:right w:val="none" w:sz="0" w:space="0" w:color="auto"/>
      </w:divBdr>
    </w:div>
    <w:div w:id="1050149723">
      <w:bodyDiv w:val="1"/>
      <w:marLeft w:val="0"/>
      <w:marRight w:val="0"/>
      <w:marTop w:val="0"/>
      <w:marBottom w:val="0"/>
      <w:divBdr>
        <w:top w:val="none" w:sz="0" w:space="0" w:color="auto"/>
        <w:left w:val="none" w:sz="0" w:space="0" w:color="auto"/>
        <w:bottom w:val="none" w:sz="0" w:space="0" w:color="auto"/>
        <w:right w:val="none" w:sz="0" w:space="0" w:color="auto"/>
      </w:divBdr>
    </w:div>
    <w:div w:id="1266885662">
      <w:bodyDiv w:val="1"/>
      <w:marLeft w:val="0"/>
      <w:marRight w:val="0"/>
      <w:marTop w:val="0"/>
      <w:marBottom w:val="0"/>
      <w:divBdr>
        <w:top w:val="none" w:sz="0" w:space="0" w:color="auto"/>
        <w:left w:val="none" w:sz="0" w:space="0" w:color="auto"/>
        <w:bottom w:val="none" w:sz="0" w:space="0" w:color="auto"/>
        <w:right w:val="none" w:sz="0" w:space="0" w:color="auto"/>
      </w:divBdr>
    </w:div>
    <w:div w:id="1453749199">
      <w:bodyDiv w:val="1"/>
      <w:marLeft w:val="0"/>
      <w:marRight w:val="0"/>
      <w:marTop w:val="0"/>
      <w:marBottom w:val="0"/>
      <w:divBdr>
        <w:top w:val="none" w:sz="0" w:space="0" w:color="auto"/>
        <w:left w:val="none" w:sz="0" w:space="0" w:color="auto"/>
        <w:bottom w:val="none" w:sz="0" w:space="0" w:color="auto"/>
        <w:right w:val="none" w:sz="0" w:space="0" w:color="auto"/>
      </w:divBdr>
    </w:div>
    <w:div w:id="1786729923">
      <w:bodyDiv w:val="1"/>
      <w:marLeft w:val="0"/>
      <w:marRight w:val="0"/>
      <w:marTop w:val="0"/>
      <w:marBottom w:val="0"/>
      <w:divBdr>
        <w:top w:val="none" w:sz="0" w:space="0" w:color="auto"/>
        <w:left w:val="none" w:sz="0" w:space="0" w:color="auto"/>
        <w:bottom w:val="none" w:sz="0" w:space="0" w:color="auto"/>
        <w:right w:val="none" w:sz="0" w:space="0" w:color="auto"/>
      </w:divBdr>
    </w:div>
    <w:div w:id="2129616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ipypp.org.ar" TargetMode="External"/><Relationship Id="rId2" Type="http://schemas.openxmlformats.org/officeDocument/2006/relationships/hyperlink" Target="http://www.ipypp.org.ar" TargetMode="External"/><Relationship Id="rId1" Type="http://schemas.openxmlformats.org/officeDocument/2006/relationships/hyperlink" Target="http://www.ipypp.org.ar" TargetMode="External"/><Relationship Id="rId4" Type="http://schemas.openxmlformats.org/officeDocument/2006/relationships/hyperlink" Target="http://www.ipypp.or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C57A8-D743-4826-A60B-9AD0AE56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7417</Words>
  <Characters>40798</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samanthahorwitz</Company>
  <LinksUpToDate>false</LinksUpToDate>
  <CharactersWithSpaces>48119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dc:creator>
  <cp:lastModifiedBy>FlavioG</cp:lastModifiedBy>
  <cp:revision>2</cp:revision>
  <dcterms:created xsi:type="dcterms:W3CDTF">2020-04-20T12:31:00Z</dcterms:created>
  <dcterms:modified xsi:type="dcterms:W3CDTF">2020-04-20T12:31:00Z</dcterms:modified>
</cp:coreProperties>
</file>