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B86FD" w14:textId="3468DE7A" w:rsidR="00F33B4A" w:rsidRPr="00F33B4A" w:rsidRDefault="00F33B4A" w:rsidP="00F33B4A">
      <w:pPr>
        <w:rPr>
          <w:b/>
          <w:lang w:val="es-ES"/>
        </w:rPr>
      </w:pPr>
      <w:r>
        <w:rPr>
          <w:b/>
          <w:lang w:val="es-ES"/>
        </w:rPr>
        <w:t xml:space="preserve"> </w:t>
      </w:r>
      <w:r>
        <w:rPr>
          <w:rFonts w:ascii="Cambria" w:eastAsia="Cambria" w:hAnsi="Cambria" w:cs="Cambria"/>
          <w:b/>
          <w:noProof/>
          <w:sz w:val="36"/>
          <w:szCs w:val="36"/>
          <w:u w:val="single"/>
        </w:rPr>
        <w:drawing>
          <wp:inline distT="114300" distB="114300" distL="114300" distR="114300" wp14:anchorId="05A19A78" wp14:editId="23AF9515">
            <wp:extent cx="5486400" cy="2527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6400" cy="2527300"/>
                    </a:xfrm>
                    <a:prstGeom prst="rect">
                      <a:avLst/>
                    </a:prstGeom>
                    <a:ln/>
                  </pic:spPr>
                </pic:pic>
              </a:graphicData>
            </a:graphic>
          </wp:inline>
        </w:drawing>
      </w:r>
    </w:p>
    <w:p w14:paraId="75367B43" w14:textId="77777777" w:rsidR="00F33B4A" w:rsidRDefault="00F33B4A" w:rsidP="00F33B4A">
      <w:pPr>
        <w:jc w:val="center"/>
        <w:rPr>
          <w:rFonts w:ascii="Cambria" w:eastAsia="Cambria" w:hAnsi="Cambria" w:cs="Cambria"/>
          <w:b/>
          <w:sz w:val="32"/>
          <w:szCs w:val="32"/>
          <w:u w:val="single"/>
        </w:rPr>
      </w:pPr>
      <w:bookmarkStart w:id="0" w:name="_4ffmag4ek9r" w:colFirst="0" w:colLast="0"/>
      <w:bookmarkEnd w:id="0"/>
    </w:p>
    <w:p w14:paraId="4623B3FF" w14:textId="77777777" w:rsidR="00F33B4A" w:rsidRDefault="00F33B4A" w:rsidP="00F33B4A">
      <w:pPr>
        <w:jc w:val="center"/>
        <w:rPr>
          <w:rFonts w:ascii="Cambria" w:eastAsia="Cambria" w:hAnsi="Cambria" w:cs="Cambria"/>
          <w:b/>
          <w:sz w:val="32"/>
          <w:szCs w:val="32"/>
          <w:u w:val="single"/>
        </w:rPr>
      </w:pPr>
    </w:p>
    <w:p w14:paraId="266C6FEB" w14:textId="77777777" w:rsidR="00543266" w:rsidRPr="00543266" w:rsidRDefault="00543266" w:rsidP="00F33B4A">
      <w:pPr>
        <w:jc w:val="center"/>
        <w:rPr>
          <w:rFonts w:ascii="Cambria" w:eastAsia="Cambria" w:hAnsi="Cambria" w:cs="Cambria"/>
          <w:b/>
          <w:sz w:val="38"/>
          <w:szCs w:val="38"/>
        </w:rPr>
      </w:pPr>
      <w:bookmarkStart w:id="1" w:name="_s67yigj13lvc" w:colFirst="0" w:colLast="0"/>
      <w:bookmarkEnd w:id="1"/>
      <w:r w:rsidRPr="00543266">
        <w:rPr>
          <w:rFonts w:ascii="Cambria" w:eastAsia="Cambria" w:hAnsi="Cambria" w:cs="Cambria"/>
          <w:b/>
          <w:sz w:val="38"/>
          <w:szCs w:val="38"/>
        </w:rPr>
        <w:t>La distribución del ingreso al primer trimestre 2020</w:t>
      </w:r>
    </w:p>
    <w:p w14:paraId="6CDE5554" w14:textId="77777777" w:rsidR="00543266" w:rsidRDefault="00543266" w:rsidP="00F33B4A">
      <w:pPr>
        <w:jc w:val="center"/>
        <w:rPr>
          <w:rFonts w:ascii="Cambria" w:eastAsia="Cambria" w:hAnsi="Cambria" w:cs="Cambria"/>
          <w:b/>
          <w:sz w:val="32"/>
          <w:szCs w:val="32"/>
        </w:rPr>
      </w:pPr>
    </w:p>
    <w:p w14:paraId="4698503A" w14:textId="77777777" w:rsidR="006E67A2" w:rsidRDefault="005D2BEA" w:rsidP="00003953">
      <w:pPr>
        <w:jc w:val="center"/>
        <w:rPr>
          <w:rFonts w:ascii="Cambria" w:eastAsia="Cambria" w:hAnsi="Cambria" w:cs="Cambria"/>
          <w:b/>
          <w:sz w:val="32"/>
          <w:szCs w:val="32"/>
        </w:rPr>
      </w:pPr>
      <w:r>
        <w:rPr>
          <w:rFonts w:ascii="Cambria" w:eastAsia="Cambria" w:hAnsi="Cambria" w:cs="Cambria"/>
          <w:b/>
          <w:sz w:val="32"/>
          <w:szCs w:val="32"/>
        </w:rPr>
        <w:t>El proceso de polarización social</w:t>
      </w:r>
    </w:p>
    <w:p w14:paraId="62BD24D0" w14:textId="326B2DBE" w:rsidR="00F33B4A" w:rsidRDefault="006E67A2" w:rsidP="00003953">
      <w:pPr>
        <w:jc w:val="center"/>
        <w:rPr>
          <w:rFonts w:ascii="Cambria" w:eastAsia="Cambria" w:hAnsi="Cambria" w:cs="Cambria"/>
          <w:b/>
          <w:sz w:val="32"/>
          <w:szCs w:val="32"/>
        </w:rPr>
      </w:pPr>
      <w:r>
        <w:rPr>
          <w:rFonts w:ascii="Cambria" w:eastAsia="Cambria" w:hAnsi="Cambria" w:cs="Cambria"/>
          <w:b/>
          <w:sz w:val="32"/>
          <w:szCs w:val="32"/>
        </w:rPr>
        <w:t>H</w:t>
      </w:r>
      <w:r w:rsidR="00543266">
        <w:rPr>
          <w:rFonts w:ascii="Cambria" w:eastAsia="Cambria" w:hAnsi="Cambria" w:cs="Cambria"/>
          <w:b/>
          <w:sz w:val="32"/>
          <w:szCs w:val="32"/>
        </w:rPr>
        <w:t xml:space="preserve">erencia y </w:t>
      </w:r>
      <w:r w:rsidR="005D2BEA">
        <w:rPr>
          <w:rFonts w:ascii="Cambria" w:eastAsia="Cambria" w:hAnsi="Cambria" w:cs="Cambria"/>
          <w:b/>
          <w:sz w:val="32"/>
          <w:szCs w:val="32"/>
        </w:rPr>
        <w:t>compensaciones</w:t>
      </w:r>
      <w:r w:rsidR="00543266">
        <w:rPr>
          <w:rFonts w:ascii="Cambria" w:eastAsia="Cambria" w:hAnsi="Cambria" w:cs="Cambria"/>
          <w:b/>
          <w:sz w:val="32"/>
          <w:szCs w:val="32"/>
        </w:rPr>
        <w:t xml:space="preserve"> insuficientes </w:t>
      </w:r>
    </w:p>
    <w:p w14:paraId="099CAE34" w14:textId="7B1C6076" w:rsidR="00F33B4A" w:rsidRDefault="00F33B4A" w:rsidP="00F33B4A">
      <w:pPr>
        <w:spacing w:after="160"/>
        <w:jc w:val="center"/>
        <w:rPr>
          <w:rFonts w:ascii="Cambria" w:eastAsia="Cambria" w:hAnsi="Cambria" w:cs="Cambria"/>
          <w:b/>
          <w:sz w:val="32"/>
          <w:szCs w:val="32"/>
          <w:u w:val="single"/>
        </w:rPr>
      </w:pPr>
    </w:p>
    <w:p w14:paraId="5AD3C513" w14:textId="77777777" w:rsidR="00F33B4A" w:rsidRDefault="00F33B4A" w:rsidP="00F33B4A">
      <w:pPr>
        <w:spacing w:after="160"/>
        <w:jc w:val="center"/>
        <w:rPr>
          <w:rFonts w:ascii="Cambria" w:eastAsia="Cambria" w:hAnsi="Cambria" w:cs="Cambria"/>
          <w:b/>
          <w:sz w:val="32"/>
          <w:szCs w:val="32"/>
          <w:highlight w:val="white"/>
          <w:u w:val="single"/>
        </w:rPr>
      </w:pPr>
      <w:r>
        <w:rPr>
          <w:rFonts w:ascii="Cambria" w:eastAsia="Cambria" w:hAnsi="Cambria" w:cs="Cambria"/>
          <w:b/>
          <w:sz w:val="32"/>
          <w:szCs w:val="32"/>
          <w:highlight w:val="white"/>
          <w:u w:val="single"/>
        </w:rPr>
        <w:br/>
      </w:r>
    </w:p>
    <w:p w14:paraId="093C4EFC" w14:textId="77777777" w:rsidR="00F33B4A" w:rsidRDefault="00F33B4A" w:rsidP="00F33B4A">
      <w:pPr>
        <w:spacing w:after="160"/>
        <w:jc w:val="center"/>
        <w:rPr>
          <w:rFonts w:ascii="Cambria" w:eastAsia="Cambria" w:hAnsi="Cambria" w:cs="Cambria"/>
          <w:b/>
          <w:sz w:val="24"/>
          <w:szCs w:val="24"/>
          <w:u w:val="single"/>
        </w:rPr>
      </w:pPr>
      <w:r>
        <w:rPr>
          <w:rFonts w:ascii="Cambria" w:eastAsia="Cambria" w:hAnsi="Cambria" w:cs="Cambria"/>
          <w:b/>
          <w:sz w:val="32"/>
          <w:szCs w:val="32"/>
          <w:u w:val="single"/>
        </w:rPr>
        <w:t xml:space="preserve"> </w:t>
      </w:r>
    </w:p>
    <w:p w14:paraId="69AECE4B" w14:textId="77777777" w:rsidR="00F33B4A" w:rsidRDefault="00F33B4A" w:rsidP="00F33B4A">
      <w:pPr>
        <w:jc w:val="right"/>
        <w:rPr>
          <w:rFonts w:ascii="Cambria" w:eastAsia="Cambria" w:hAnsi="Cambria" w:cs="Cambria"/>
          <w:b/>
          <w:sz w:val="24"/>
          <w:szCs w:val="24"/>
          <w:u w:val="single"/>
        </w:rPr>
      </w:pPr>
      <w:r>
        <w:rPr>
          <w:rFonts w:ascii="Cambria" w:eastAsia="Cambria" w:hAnsi="Cambria" w:cs="Cambria"/>
          <w:b/>
          <w:sz w:val="24"/>
          <w:szCs w:val="24"/>
          <w:u w:val="single"/>
        </w:rPr>
        <w:t xml:space="preserve"> </w:t>
      </w:r>
    </w:p>
    <w:p w14:paraId="722D0EA6" w14:textId="11B9AB76" w:rsidR="00F33B4A" w:rsidRDefault="00F33B4A" w:rsidP="00F33B4A">
      <w:pPr>
        <w:jc w:val="right"/>
        <w:rPr>
          <w:rFonts w:ascii="Cambria" w:eastAsia="Cambria" w:hAnsi="Cambria" w:cs="Cambria"/>
          <w:b/>
          <w:sz w:val="24"/>
          <w:szCs w:val="24"/>
          <w:u w:val="single"/>
        </w:rPr>
      </w:pPr>
      <w:r>
        <w:rPr>
          <w:rFonts w:ascii="Cambria" w:eastAsia="Cambria" w:hAnsi="Cambria" w:cs="Cambria"/>
          <w:b/>
          <w:sz w:val="24"/>
          <w:szCs w:val="24"/>
          <w:u w:val="single"/>
        </w:rPr>
        <w:t>Equipo de trabajo</w:t>
      </w:r>
    </w:p>
    <w:p w14:paraId="1AF397C0" w14:textId="686EBB82" w:rsidR="00F33B4A" w:rsidRPr="00F33B4A" w:rsidRDefault="00F33B4A" w:rsidP="00F33B4A">
      <w:pPr>
        <w:jc w:val="right"/>
        <w:rPr>
          <w:rFonts w:ascii="Cambria" w:eastAsia="Cambria" w:hAnsi="Cambria" w:cs="Cambria"/>
          <w:bCs/>
          <w:sz w:val="24"/>
          <w:szCs w:val="24"/>
        </w:rPr>
      </w:pPr>
      <w:r>
        <w:rPr>
          <w:rFonts w:ascii="Cambria" w:eastAsia="Cambria" w:hAnsi="Cambria" w:cs="Cambria"/>
          <w:bCs/>
          <w:sz w:val="24"/>
          <w:szCs w:val="24"/>
        </w:rPr>
        <w:t xml:space="preserve">Agustina </w:t>
      </w:r>
      <w:proofErr w:type="spellStart"/>
      <w:r>
        <w:rPr>
          <w:rFonts w:ascii="Cambria" w:eastAsia="Cambria" w:hAnsi="Cambria" w:cs="Cambria"/>
          <w:bCs/>
          <w:sz w:val="24"/>
          <w:szCs w:val="24"/>
        </w:rPr>
        <w:t>Haimovich</w:t>
      </w:r>
      <w:proofErr w:type="spellEnd"/>
    </w:p>
    <w:p w14:paraId="1E2B70E7" w14:textId="06F7C925" w:rsidR="00F33B4A" w:rsidRPr="00193445" w:rsidRDefault="008C184D" w:rsidP="00F33B4A">
      <w:pPr>
        <w:jc w:val="right"/>
        <w:rPr>
          <w:rFonts w:ascii="Cambria" w:eastAsia="Cambria" w:hAnsi="Cambria" w:cs="Cambria"/>
          <w:sz w:val="24"/>
          <w:szCs w:val="24"/>
        </w:rPr>
      </w:pPr>
      <w:r>
        <w:rPr>
          <w:rFonts w:ascii="Cambria" w:eastAsia="Cambria" w:hAnsi="Cambria" w:cs="Cambria"/>
          <w:sz w:val="24"/>
          <w:szCs w:val="24"/>
        </w:rPr>
        <w:t>Claudio Lozano</w:t>
      </w:r>
    </w:p>
    <w:p w14:paraId="05C8369B" w14:textId="77777777" w:rsidR="008C184D" w:rsidRDefault="008C184D" w:rsidP="00F33B4A">
      <w:pPr>
        <w:jc w:val="right"/>
        <w:rPr>
          <w:rFonts w:ascii="Cambria" w:eastAsia="Cambria" w:hAnsi="Cambria" w:cs="Cambria"/>
          <w:b/>
          <w:sz w:val="24"/>
          <w:szCs w:val="24"/>
          <w:u w:val="single"/>
        </w:rPr>
      </w:pPr>
    </w:p>
    <w:p w14:paraId="0397109C" w14:textId="6AEC4962" w:rsidR="00F33B4A" w:rsidRDefault="00F33B4A" w:rsidP="00F33B4A">
      <w:pPr>
        <w:jc w:val="right"/>
        <w:rPr>
          <w:rFonts w:ascii="Cambria" w:eastAsia="Cambria" w:hAnsi="Cambria" w:cs="Cambria"/>
          <w:b/>
          <w:sz w:val="24"/>
          <w:szCs w:val="24"/>
          <w:u w:val="single"/>
        </w:rPr>
      </w:pPr>
      <w:r>
        <w:rPr>
          <w:rFonts w:ascii="Cambria" w:eastAsia="Cambria" w:hAnsi="Cambria" w:cs="Cambria"/>
          <w:b/>
          <w:sz w:val="24"/>
          <w:szCs w:val="24"/>
          <w:u w:val="single"/>
        </w:rPr>
        <w:t>Coordinación</w:t>
      </w:r>
    </w:p>
    <w:p w14:paraId="5564D71C" w14:textId="77777777" w:rsidR="00F33B4A" w:rsidRDefault="00F33B4A" w:rsidP="00F33B4A">
      <w:pPr>
        <w:jc w:val="right"/>
        <w:rPr>
          <w:rFonts w:ascii="Cambria" w:eastAsia="Cambria" w:hAnsi="Cambria" w:cs="Cambria"/>
          <w:sz w:val="24"/>
          <w:szCs w:val="24"/>
        </w:rPr>
      </w:pPr>
      <w:r>
        <w:rPr>
          <w:rFonts w:ascii="Cambria" w:eastAsia="Cambria" w:hAnsi="Cambria" w:cs="Cambria"/>
          <w:sz w:val="24"/>
          <w:szCs w:val="24"/>
        </w:rPr>
        <w:t>Ana Rameri</w:t>
      </w:r>
    </w:p>
    <w:p w14:paraId="189D2DFB" w14:textId="77777777" w:rsidR="00F33B4A" w:rsidRDefault="00F33B4A" w:rsidP="00F33B4A">
      <w:pPr>
        <w:jc w:val="right"/>
        <w:rPr>
          <w:rFonts w:ascii="Cambria" w:eastAsia="Cambria" w:hAnsi="Cambria" w:cs="Cambria"/>
          <w:sz w:val="24"/>
          <w:szCs w:val="24"/>
        </w:rPr>
      </w:pPr>
      <w:bookmarkStart w:id="2" w:name="_pgaxxtf24pch" w:colFirst="0" w:colLast="0"/>
      <w:bookmarkEnd w:id="2"/>
    </w:p>
    <w:p w14:paraId="60F9C3BC" w14:textId="77777777" w:rsidR="00F33B4A" w:rsidRPr="00193445" w:rsidRDefault="00F33B4A" w:rsidP="00F33B4A">
      <w:pPr>
        <w:rPr>
          <w:rFonts w:ascii="Cambria" w:eastAsia="Cambria" w:hAnsi="Cambria" w:cs="Cambria"/>
          <w:sz w:val="24"/>
          <w:szCs w:val="24"/>
        </w:rPr>
      </w:pPr>
      <w:bookmarkStart w:id="3" w:name="_hofbbd8bwo7" w:colFirst="0" w:colLast="0"/>
      <w:bookmarkEnd w:id="3"/>
    </w:p>
    <w:p w14:paraId="68D6DD0F" w14:textId="77777777" w:rsidR="00F33B4A" w:rsidRDefault="00F33B4A" w:rsidP="00F33B4A">
      <w:pPr>
        <w:spacing w:after="160"/>
        <w:ind w:firstLine="700"/>
        <w:jc w:val="center"/>
        <w:rPr>
          <w:rFonts w:ascii="Cambria" w:eastAsia="Cambria" w:hAnsi="Cambria" w:cs="Cambria"/>
          <w:b/>
          <w:color w:val="222222"/>
          <w:sz w:val="24"/>
          <w:szCs w:val="24"/>
          <w:highlight w:val="white"/>
        </w:rPr>
      </w:pPr>
      <w:bookmarkStart w:id="4" w:name="_gjdgxs" w:colFirst="0" w:colLast="0"/>
      <w:bookmarkEnd w:id="4"/>
    </w:p>
    <w:p w14:paraId="15EB7985" w14:textId="77777777" w:rsidR="00F33B4A" w:rsidRPr="00193445" w:rsidRDefault="00F33B4A" w:rsidP="00F33B4A">
      <w:pPr>
        <w:spacing w:after="160"/>
        <w:ind w:firstLine="700"/>
        <w:jc w:val="center"/>
        <w:rPr>
          <w:rFonts w:ascii="Cambria" w:eastAsia="Cambria" w:hAnsi="Cambria" w:cs="Cambria"/>
          <w:b/>
          <w:color w:val="222222"/>
          <w:sz w:val="24"/>
          <w:szCs w:val="24"/>
          <w:highlight w:val="white"/>
        </w:rPr>
      </w:pPr>
      <w:r w:rsidRPr="00193445">
        <w:rPr>
          <w:rFonts w:ascii="Cambria" w:eastAsia="Cambria" w:hAnsi="Cambria" w:cs="Cambria"/>
          <w:b/>
          <w:color w:val="222222"/>
          <w:sz w:val="24"/>
          <w:szCs w:val="24"/>
          <w:highlight w:val="white"/>
        </w:rPr>
        <w:t>Junio 2020</w:t>
      </w:r>
    </w:p>
    <w:p w14:paraId="450FFF15" w14:textId="77777777" w:rsidR="00F33B4A" w:rsidRDefault="00F33B4A">
      <w:pPr>
        <w:rPr>
          <w:b/>
          <w:lang w:val="es-ES"/>
        </w:rPr>
      </w:pPr>
      <w:r>
        <w:rPr>
          <w:b/>
          <w:lang w:val="es-ES"/>
        </w:rPr>
        <w:br w:type="page"/>
      </w:r>
    </w:p>
    <w:p w14:paraId="371E3007" w14:textId="362BB01C" w:rsidR="00526BD6" w:rsidRPr="00365C9F" w:rsidRDefault="00365C9F">
      <w:pPr>
        <w:rPr>
          <w:b/>
          <w:lang w:val="es-ES"/>
        </w:rPr>
      </w:pPr>
      <w:r w:rsidRPr="00365C9F">
        <w:rPr>
          <w:b/>
          <w:lang w:val="es-ES"/>
        </w:rPr>
        <w:lastRenderedPageBreak/>
        <w:t>Introducción</w:t>
      </w:r>
    </w:p>
    <w:p w14:paraId="1C2559FB" w14:textId="77777777" w:rsidR="00365C9F" w:rsidRDefault="00365C9F">
      <w:pPr>
        <w:rPr>
          <w:lang w:val="es-ES"/>
        </w:rPr>
      </w:pPr>
    </w:p>
    <w:p w14:paraId="5FF9B910" w14:textId="77777777" w:rsidR="003C2A09" w:rsidRDefault="003C2A09" w:rsidP="003C2A09">
      <w:pPr>
        <w:jc w:val="both"/>
        <w:rPr>
          <w:lang w:val="es-ES"/>
        </w:rPr>
      </w:pPr>
      <w:r>
        <w:rPr>
          <w:lang w:val="es-ES"/>
        </w:rPr>
        <w:t xml:space="preserve">Los resultados </w:t>
      </w:r>
      <w:r w:rsidR="00655AE0">
        <w:rPr>
          <w:lang w:val="es-ES"/>
        </w:rPr>
        <w:t>de la evolución en la distribución del ingreso</w:t>
      </w:r>
      <w:r>
        <w:rPr>
          <w:lang w:val="es-ES"/>
        </w:rPr>
        <w:t xml:space="preserve"> </w:t>
      </w:r>
      <w:r w:rsidR="00655AE0">
        <w:rPr>
          <w:lang w:val="es-ES"/>
        </w:rPr>
        <w:t>publicados recientemente por el INDEC permiten distinguir a grandes rasgos las siguientes dinámicas:</w:t>
      </w:r>
    </w:p>
    <w:p w14:paraId="0A3D9493" w14:textId="77777777" w:rsidR="003C2A09" w:rsidRDefault="003C2A09" w:rsidP="003C2A09">
      <w:pPr>
        <w:jc w:val="both"/>
        <w:rPr>
          <w:lang w:val="es-ES"/>
        </w:rPr>
      </w:pPr>
    </w:p>
    <w:p w14:paraId="7779853E" w14:textId="7CFB2FA5" w:rsidR="00655AE0" w:rsidRDefault="00655AE0" w:rsidP="003C2A09">
      <w:pPr>
        <w:pStyle w:val="Prrafodelista"/>
        <w:numPr>
          <w:ilvl w:val="0"/>
          <w:numId w:val="6"/>
        </w:numPr>
        <w:jc w:val="both"/>
        <w:rPr>
          <w:lang w:val="es-ES"/>
        </w:rPr>
      </w:pPr>
      <w:r>
        <w:rPr>
          <w:lang w:val="es-ES"/>
        </w:rPr>
        <w:t>E</w:t>
      </w:r>
      <w:r w:rsidR="003C2A09" w:rsidRPr="00655AE0">
        <w:rPr>
          <w:lang w:val="es-ES"/>
        </w:rPr>
        <w:t xml:space="preserve">n el </w:t>
      </w:r>
      <w:r>
        <w:rPr>
          <w:lang w:val="es-ES"/>
        </w:rPr>
        <w:t>primer trimestre de 2020</w:t>
      </w:r>
      <w:r w:rsidR="003C2A09" w:rsidRPr="00655AE0">
        <w:rPr>
          <w:lang w:val="es-ES"/>
        </w:rPr>
        <w:t xml:space="preserve"> se </w:t>
      </w:r>
      <w:r>
        <w:rPr>
          <w:lang w:val="es-ES"/>
        </w:rPr>
        <w:t>registra un incremento de la</w:t>
      </w:r>
      <w:r w:rsidR="003C2A09" w:rsidRPr="00655AE0">
        <w:rPr>
          <w:lang w:val="es-ES"/>
        </w:rPr>
        <w:t xml:space="preserve"> desigualdad general </w:t>
      </w:r>
      <w:r w:rsidRPr="00655AE0">
        <w:rPr>
          <w:lang w:val="es-ES"/>
        </w:rPr>
        <w:t xml:space="preserve">(considerando ingresos laborales y no laborales) </w:t>
      </w:r>
      <w:r w:rsidR="003C2A09" w:rsidRPr="00655AE0">
        <w:rPr>
          <w:lang w:val="es-ES"/>
        </w:rPr>
        <w:t>con respect</w:t>
      </w:r>
      <w:r w:rsidR="00180B09">
        <w:rPr>
          <w:lang w:val="es-ES"/>
        </w:rPr>
        <w:t>o</w:t>
      </w:r>
      <w:r w:rsidR="003C2A09" w:rsidRPr="00655AE0">
        <w:rPr>
          <w:lang w:val="es-ES"/>
        </w:rPr>
        <w:t xml:space="preserve"> al trimestre anterior, que </w:t>
      </w:r>
      <w:r>
        <w:rPr>
          <w:lang w:val="es-ES"/>
        </w:rPr>
        <w:t>se explica por</w:t>
      </w:r>
      <w:r w:rsidR="003C2A09" w:rsidRPr="00655AE0">
        <w:rPr>
          <w:lang w:val="es-ES"/>
        </w:rPr>
        <w:t xml:space="preserve"> un claro componente estacional producto del </w:t>
      </w:r>
      <w:r>
        <w:rPr>
          <w:lang w:val="es-ES"/>
        </w:rPr>
        <w:t xml:space="preserve">efecto que genera el </w:t>
      </w:r>
      <w:r w:rsidR="003C2A09" w:rsidRPr="00655AE0">
        <w:rPr>
          <w:lang w:val="es-ES"/>
        </w:rPr>
        <w:t>cobro del aguinaldo</w:t>
      </w:r>
      <w:r>
        <w:rPr>
          <w:rStyle w:val="Refdenotaalpie"/>
          <w:lang w:val="es-ES"/>
        </w:rPr>
        <w:footnoteReference w:id="1"/>
      </w:r>
      <w:r w:rsidR="003C2A09" w:rsidRPr="00655AE0">
        <w:rPr>
          <w:lang w:val="es-ES"/>
        </w:rPr>
        <w:t xml:space="preserve">. Sin embargo, al interior del conjunto de ocupados (despejando el efecto del aguinaldo) se percibe una mejora distributiva entre el estrato </w:t>
      </w:r>
      <w:r>
        <w:rPr>
          <w:lang w:val="es-ES"/>
        </w:rPr>
        <w:t xml:space="preserve">de </w:t>
      </w:r>
      <w:r w:rsidR="003C2A09" w:rsidRPr="00655AE0">
        <w:rPr>
          <w:lang w:val="es-ES"/>
        </w:rPr>
        <w:t>bajo</w:t>
      </w:r>
      <w:r>
        <w:rPr>
          <w:lang w:val="es-ES"/>
        </w:rPr>
        <w:t>s ingresos</w:t>
      </w:r>
      <w:r w:rsidR="003C2A09" w:rsidRPr="00655AE0">
        <w:rPr>
          <w:lang w:val="es-ES"/>
        </w:rPr>
        <w:t xml:space="preserve"> y los estratos medios y alto.</w:t>
      </w:r>
    </w:p>
    <w:p w14:paraId="0BF9A46C" w14:textId="77777777" w:rsidR="00655AE0" w:rsidRDefault="00655AE0" w:rsidP="00655AE0">
      <w:pPr>
        <w:pStyle w:val="Prrafodelista"/>
        <w:jc w:val="both"/>
        <w:rPr>
          <w:lang w:val="es-ES"/>
        </w:rPr>
      </w:pPr>
    </w:p>
    <w:p w14:paraId="03257152" w14:textId="77777777" w:rsidR="003C2A09" w:rsidRPr="00655AE0" w:rsidRDefault="003C2A09" w:rsidP="003C2A09">
      <w:pPr>
        <w:pStyle w:val="Prrafodelista"/>
        <w:numPr>
          <w:ilvl w:val="0"/>
          <w:numId w:val="6"/>
        </w:numPr>
        <w:jc w:val="both"/>
        <w:rPr>
          <w:lang w:val="es-ES"/>
        </w:rPr>
      </w:pPr>
      <w:r w:rsidRPr="00655AE0">
        <w:rPr>
          <w:lang w:val="es-ES"/>
        </w:rPr>
        <w:t xml:space="preserve">En </w:t>
      </w:r>
      <w:r w:rsidR="00655AE0">
        <w:rPr>
          <w:lang w:val="es-ES"/>
        </w:rPr>
        <w:t>términos interanuales</w:t>
      </w:r>
      <w:r w:rsidRPr="00655AE0">
        <w:rPr>
          <w:lang w:val="es-ES"/>
        </w:rPr>
        <w:t xml:space="preserve">, </w:t>
      </w:r>
      <w:r w:rsidR="00655AE0">
        <w:rPr>
          <w:lang w:val="es-ES"/>
        </w:rPr>
        <w:t>se produjo</w:t>
      </w:r>
      <w:r w:rsidRPr="00655AE0">
        <w:rPr>
          <w:lang w:val="es-ES"/>
        </w:rPr>
        <w:t xml:space="preserve"> </w:t>
      </w:r>
      <w:r w:rsidR="004E302C">
        <w:rPr>
          <w:lang w:val="es-ES"/>
        </w:rPr>
        <w:t>un leve descenso</w:t>
      </w:r>
      <w:r w:rsidRPr="00655AE0">
        <w:rPr>
          <w:lang w:val="es-ES"/>
        </w:rPr>
        <w:t xml:space="preserve"> de la desigualdad general </w:t>
      </w:r>
      <w:r w:rsidR="00655AE0">
        <w:rPr>
          <w:lang w:val="es-ES"/>
        </w:rPr>
        <w:t>expresad</w:t>
      </w:r>
      <w:r w:rsidR="004E302C">
        <w:rPr>
          <w:lang w:val="es-ES"/>
        </w:rPr>
        <w:t>o</w:t>
      </w:r>
      <w:r w:rsidR="00655AE0">
        <w:rPr>
          <w:lang w:val="es-ES"/>
        </w:rPr>
        <w:t xml:space="preserve"> en el Coeficiente de Gini</w:t>
      </w:r>
      <w:r w:rsidR="00365C9F">
        <w:rPr>
          <w:lang w:val="es-ES"/>
        </w:rPr>
        <w:t>,</w:t>
      </w:r>
      <w:r w:rsidR="007F1A20">
        <w:rPr>
          <w:lang w:val="es-ES"/>
        </w:rPr>
        <w:t xml:space="preserve"> debido</w:t>
      </w:r>
      <w:r w:rsidRPr="00655AE0">
        <w:rPr>
          <w:lang w:val="es-ES"/>
        </w:rPr>
        <w:t xml:space="preserve"> principalmente </w:t>
      </w:r>
      <w:r w:rsidR="007F1A20">
        <w:rPr>
          <w:lang w:val="es-ES"/>
        </w:rPr>
        <w:t>a</w:t>
      </w:r>
      <w:r w:rsidRPr="00655AE0">
        <w:rPr>
          <w:lang w:val="es-ES"/>
        </w:rPr>
        <w:t xml:space="preserve"> la mejora experimentada en el estrato medio en relación al estrato alto</w:t>
      </w:r>
      <w:r w:rsidR="00655AE0">
        <w:rPr>
          <w:lang w:val="es-ES"/>
        </w:rPr>
        <w:t>. Sin embargo</w:t>
      </w:r>
      <w:r w:rsidRPr="00655AE0">
        <w:rPr>
          <w:lang w:val="es-ES"/>
        </w:rPr>
        <w:t xml:space="preserve">, esta </w:t>
      </w:r>
      <w:r w:rsidR="004E302C">
        <w:rPr>
          <w:lang w:val="es-ES"/>
        </w:rPr>
        <w:t xml:space="preserve">leve </w:t>
      </w:r>
      <w:r w:rsidRPr="00655AE0">
        <w:rPr>
          <w:lang w:val="es-ES"/>
        </w:rPr>
        <w:t>mejora queda opacada por el ma</w:t>
      </w:r>
      <w:r w:rsidR="004E302C">
        <w:rPr>
          <w:lang w:val="es-ES"/>
        </w:rPr>
        <w:t xml:space="preserve">l desempeño sufrido por la población </w:t>
      </w:r>
      <w:r w:rsidRPr="00655AE0">
        <w:rPr>
          <w:lang w:val="es-ES"/>
        </w:rPr>
        <w:t xml:space="preserve">de más bajos ingresos, lo cual se traduce en un incremento de la brecha entre </w:t>
      </w:r>
      <w:r w:rsidR="00655AE0">
        <w:rPr>
          <w:lang w:val="es-ES"/>
        </w:rPr>
        <w:t>el promedio de ingresos percibido por el 10% más pobre y el 10% más rico</w:t>
      </w:r>
      <w:r w:rsidRPr="00655AE0">
        <w:rPr>
          <w:lang w:val="es-ES"/>
        </w:rPr>
        <w:t xml:space="preserve">. Ese peor desempeño </w:t>
      </w:r>
      <w:r w:rsidR="004E302C">
        <w:rPr>
          <w:lang w:val="es-ES"/>
        </w:rPr>
        <w:t>responde en parte a una</w:t>
      </w:r>
      <w:r w:rsidRPr="00655AE0">
        <w:rPr>
          <w:lang w:val="es-ES"/>
        </w:rPr>
        <w:t xml:space="preserve"> </w:t>
      </w:r>
      <w:r w:rsidR="00365C9F">
        <w:rPr>
          <w:lang w:val="es-ES"/>
        </w:rPr>
        <w:t>contracción</w:t>
      </w:r>
      <w:r w:rsidRPr="00655AE0">
        <w:rPr>
          <w:lang w:val="es-ES"/>
        </w:rPr>
        <w:t xml:space="preserve"> del empleo en </w:t>
      </w:r>
      <w:r w:rsidR="004E302C">
        <w:rPr>
          <w:lang w:val="es-ES"/>
        </w:rPr>
        <w:t>el decil más pobre</w:t>
      </w:r>
      <w:r w:rsidR="004E302C">
        <w:rPr>
          <w:rStyle w:val="Refdenotaalpie"/>
          <w:lang w:val="es-ES"/>
        </w:rPr>
        <w:footnoteReference w:id="2"/>
      </w:r>
      <w:r w:rsidR="004E302C">
        <w:rPr>
          <w:lang w:val="es-ES"/>
        </w:rPr>
        <w:t>.</w:t>
      </w:r>
    </w:p>
    <w:p w14:paraId="4E78FF1A" w14:textId="77777777" w:rsidR="003C2A09" w:rsidRDefault="003C2A09">
      <w:pPr>
        <w:rPr>
          <w:lang w:val="es-ES"/>
        </w:rPr>
      </w:pPr>
    </w:p>
    <w:p w14:paraId="12DF57A6" w14:textId="77777777" w:rsidR="00365C9F" w:rsidRDefault="00B1771A" w:rsidP="00365C9F">
      <w:pPr>
        <w:jc w:val="both"/>
        <w:rPr>
          <w:lang w:val="es-ES"/>
        </w:rPr>
      </w:pPr>
      <w:r>
        <w:rPr>
          <w:lang w:val="es-ES"/>
        </w:rPr>
        <w:t>Los niveles elevados de desigualdad que experimenta la sociedad argentina resultan aún más preocupantes si se tiene en cuenta el carácter insuficiente de los ingresos que percibe un amplio conjunto de la población para garantizar las condiciones materiales de vida de forma adecuada. A comienzos de este año,</w:t>
      </w:r>
      <w:r w:rsidR="00365C9F" w:rsidRPr="00365C9F">
        <w:rPr>
          <w:lang w:val="es-ES"/>
        </w:rPr>
        <w:t xml:space="preserve"> aproximadamente el 10% de los hogares percibe ingresos inferiores a la C</w:t>
      </w:r>
      <w:r>
        <w:rPr>
          <w:lang w:val="es-ES"/>
        </w:rPr>
        <w:t xml:space="preserve">anasta </w:t>
      </w:r>
      <w:r w:rsidR="00365C9F" w:rsidRPr="00365C9F">
        <w:rPr>
          <w:lang w:val="es-ES"/>
        </w:rPr>
        <w:t>B</w:t>
      </w:r>
      <w:r>
        <w:rPr>
          <w:lang w:val="es-ES"/>
        </w:rPr>
        <w:t xml:space="preserve">ásica </w:t>
      </w:r>
      <w:r w:rsidR="00365C9F" w:rsidRPr="00365C9F">
        <w:rPr>
          <w:lang w:val="es-ES"/>
        </w:rPr>
        <w:t>A</w:t>
      </w:r>
      <w:r>
        <w:rPr>
          <w:lang w:val="es-ES"/>
        </w:rPr>
        <w:t>limentaria</w:t>
      </w:r>
      <w:r w:rsidR="00365C9F" w:rsidRPr="00365C9F">
        <w:rPr>
          <w:lang w:val="es-ES"/>
        </w:rPr>
        <w:t xml:space="preserve"> para una familia tipo</w:t>
      </w:r>
      <w:r>
        <w:rPr>
          <w:lang w:val="es-ES"/>
        </w:rPr>
        <w:t xml:space="preserve"> </w:t>
      </w:r>
      <w:r w:rsidRPr="00B1771A">
        <w:rPr>
          <w:lang w:val="es-ES"/>
        </w:rPr>
        <w:t>($17.300 en Marzo)</w:t>
      </w:r>
      <w:r w:rsidR="00365C9F" w:rsidRPr="00365C9F">
        <w:rPr>
          <w:lang w:val="es-ES"/>
        </w:rPr>
        <w:t>, mientras al menos 4 de cada 10 se encuentran por debajo de la C</w:t>
      </w:r>
      <w:r>
        <w:rPr>
          <w:lang w:val="es-ES"/>
        </w:rPr>
        <w:t xml:space="preserve">anasta </w:t>
      </w:r>
      <w:r w:rsidR="00365C9F" w:rsidRPr="00365C9F">
        <w:rPr>
          <w:lang w:val="es-ES"/>
        </w:rPr>
        <w:t>B</w:t>
      </w:r>
      <w:r>
        <w:rPr>
          <w:lang w:val="es-ES"/>
        </w:rPr>
        <w:t xml:space="preserve">ásica </w:t>
      </w:r>
      <w:r w:rsidR="00365C9F" w:rsidRPr="00365C9F">
        <w:rPr>
          <w:lang w:val="es-ES"/>
        </w:rPr>
        <w:t>T</w:t>
      </w:r>
      <w:r>
        <w:rPr>
          <w:lang w:val="es-ES"/>
        </w:rPr>
        <w:t xml:space="preserve">otal </w:t>
      </w:r>
      <w:r w:rsidRPr="00B1771A">
        <w:rPr>
          <w:lang w:val="es-ES"/>
        </w:rPr>
        <w:t>(casi $42.000 en Marzo)</w:t>
      </w:r>
      <w:r w:rsidR="00365C9F" w:rsidRPr="00365C9F">
        <w:rPr>
          <w:lang w:val="es-ES"/>
        </w:rPr>
        <w:t>.</w:t>
      </w:r>
    </w:p>
    <w:p w14:paraId="1D324590" w14:textId="77777777" w:rsidR="00B1771A" w:rsidRDefault="00B1771A" w:rsidP="00365C9F">
      <w:pPr>
        <w:jc w:val="both"/>
        <w:rPr>
          <w:lang w:val="es-ES"/>
        </w:rPr>
      </w:pPr>
    </w:p>
    <w:p w14:paraId="2CA35904" w14:textId="77777777" w:rsidR="00365C9F" w:rsidRDefault="00365C9F" w:rsidP="00365C9F">
      <w:pPr>
        <w:jc w:val="both"/>
        <w:rPr>
          <w:lang w:val="es-ES"/>
        </w:rPr>
      </w:pPr>
      <w:r>
        <w:rPr>
          <w:lang w:val="es-ES"/>
        </w:rPr>
        <w:t xml:space="preserve">A raíz de la </w:t>
      </w:r>
      <w:r w:rsidR="00294212">
        <w:rPr>
          <w:lang w:val="es-ES"/>
        </w:rPr>
        <w:t>irrupción del coronavirus</w:t>
      </w:r>
      <w:r>
        <w:rPr>
          <w:lang w:val="es-ES"/>
        </w:rPr>
        <w:t xml:space="preserve">, cuyo impacto se reflejará recién en los resultados del segundo trimestre, se espera para los próximos meses un nuevo golpe regresivo en la distribución, que </w:t>
      </w:r>
      <w:r w:rsidR="00B1771A">
        <w:rPr>
          <w:lang w:val="es-ES"/>
        </w:rPr>
        <w:t>podrá ser</w:t>
      </w:r>
      <w:r>
        <w:rPr>
          <w:lang w:val="es-ES"/>
        </w:rPr>
        <w:t xml:space="preserve"> mitigado parcialmente por las políticas de contención implementadas por el Gobierno</w:t>
      </w:r>
      <w:r w:rsidR="007F1A20">
        <w:rPr>
          <w:lang w:val="es-ES"/>
        </w:rPr>
        <w:t>,</w:t>
      </w:r>
      <w:r w:rsidR="00B1771A">
        <w:rPr>
          <w:lang w:val="es-ES"/>
        </w:rPr>
        <w:t xml:space="preserve"> en la medida que las mismas tiendan a reforzarse y acentuar su carácter progresivo</w:t>
      </w:r>
      <w:r>
        <w:rPr>
          <w:lang w:val="es-ES"/>
        </w:rPr>
        <w:t xml:space="preserve">. </w:t>
      </w:r>
      <w:r w:rsidR="00B1771A">
        <w:rPr>
          <w:lang w:val="es-ES"/>
        </w:rPr>
        <w:t xml:space="preserve">De lo contrario, la </w:t>
      </w:r>
      <w:r w:rsidR="00294212">
        <w:rPr>
          <w:lang w:val="es-ES"/>
        </w:rPr>
        <w:t>etapa</w:t>
      </w:r>
      <w:r w:rsidR="00B1771A">
        <w:rPr>
          <w:lang w:val="es-ES"/>
        </w:rPr>
        <w:t xml:space="preserve"> “pos-</w:t>
      </w:r>
      <w:r w:rsidR="00294212">
        <w:rPr>
          <w:lang w:val="es-ES"/>
        </w:rPr>
        <w:t>pandemia</w:t>
      </w:r>
      <w:r w:rsidR="00B1771A">
        <w:rPr>
          <w:lang w:val="es-ES"/>
        </w:rPr>
        <w:t xml:space="preserve">” nos encontrará con una </w:t>
      </w:r>
      <w:r w:rsidR="000052CF">
        <w:rPr>
          <w:lang w:val="es-ES"/>
        </w:rPr>
        <w:t>severa</w:t>
      </w:r>
      <w:r w:rsidR="00B1771A">
        <w:rPr>
          <w:lang w:val="es-ES"/>
        </w:rPr>
        <w:t xml:space="preserve"> ampliación de </w:t>
      </w:r>
      <w:r w:rsidR="00294212">
        <w:rPr>
          <w:lang w:val="es-ES"/>
        </w:rPr>
        <w:t>la</w:t>
      </w:r>
      <w:r w:rsidR="00B1771A">
        <w:rPr>
          <w:lang w:val="es-ES"/>
        </w:rPr>
        <w:t xml:space="preserve"> </w:t>
      </w:r>
      <w:r w:rsidR="00294212">
        <w:rPr>
          <w:lang w:val="es-ES"/>
        </w:rPr>
        <w:t xml:space="preserve">ya elevada </w:t>
      </w:r>
      <w:r w:rsidR="00B1771A">
        <w:rPr>
          <w:lang w:val="es-ES"/>
        </w:rPr>
        <w:t xml:space="preserve">brecha </w:t>
      </w:r>
      <w:r w:rsidR="00294212">
        <w:rPr>
          <w:lang w:val="es-ES"/>
        </w:rPr>
        <w:t>entre ricos y pobres.</w:t>
      </w:r>
    </w:p>
    <w:p w14:paraId="119AAEAB" w14:textId="77777777" w:rsidR="00365C9F" w:rsidRDefault="00365C9F">
      <w:pPr>
        <w:rPr>
          <w:lang w:val="es-ES"/>
        </w:rPr>
      </w:pPr>
    </w:p>
    <w:p w14:paraId="762BA325" w14:textId="77777777" w:rsidR="004E302C" w:rsidRPr="00526BD6" w:rsidRDefault="004E302C" w:rsidP="004E302C">
      <w:pPr>
        <w:rPr>
          <w:b/>
          <w:lang w:val="es-ES"/>
        </w:rPr>
      </w:pPr>
      <w:r>
        <w:rPr>
          <w:b/>
          <w:lang w:val="es-ES"/>
        </w:rPr>
        <w:t>Acerca de los resultados de distribución del ingreso en el primer trimestre 2020</w:t>
      </w:r>
    </w:p>
    <w:p w14:paraId="031EB828" w14:textId="77777777" w:rsidR="004E302C" w:rsidRDefault="004E302C">
      <w:pPr>
        <w:rPr>
          <w:lang w:val="es-ES"/>
        </w:rPr>
      </w:pPr>
    </w:p>
    <w:p w14:paraId="4C8B97CB" w14:textId="77777777" w:rsidR="00526BD6" w:rsidRDefault="00526BD6" w:rsidP="009244E9">
      <w:pPr>
        <w:jc w:val="both"/>
        <w:rPr>
          <w:lang w:val="es-ES"/>
        </w:rPr>
      </w:pPr>
      <w:r>
        <w:rPr>
          <w:lang w:val="es-ES"/>
        </w:rPr>
        <w:t xml:space="preserve">En el primer trimestre de 2020 el coeficiente de Gini alcanzó un valor de 0,444. Si bien ello implica un aumento </w:t>
      </w:r>
      <w:r w:rsidR="00BB1BAF">
        <w:rPr>
          <w:lang w:val="es-ES"/>
        </w:rPr>
        <w:t xml:space="preserve">de la desigualdad </w:t>
      </w:r>
      <w:r>
        <w:rPr>
          <w:lang w:val="es-ES"/>
        </w:rPr>
        <w:t xml:space="preserve">con respecto al trimestre anterior </w:t>
      </w:r>
      <w:r w:rsidR="009244E9">
        <w:rPr>
          <w:lang w:val="es-ES"/>
        </w:rPr>
        <w:t>(0,439 en el 4to trim</w:t>
      </w:r>
      <w:r w:rsidR="00BB1BAF">
        <w:rPr>
          <w:lang w:val="es-ES"/>
        </w:rPr>
        <w:t>estre 2019</w:t>
      </w:r>
      <w:r w:rsidR="009244E9">
        <w:rPr>
          <w:lang w:val="es-ES"/>
        </w:rPr>
        <w:t>)</w:t>
      </w:r>
      <w:r w:rsidR="000C34C0">
        <w:rPr>
          <w:lang w:val="es-ES"/>
        </w:rPr>
        <w:t>, vale recordar que en los trimestres impares este indicador suele aumentar</w:t>
      </w:r>
      <w:r w:rsidR="009244E9">
        <w:rPr>
          <w:lang w:val="es-ES"/>
        </w:rPr>
        <w:t xml:space="preserve"> </w:t>
      </w:r>
      <w:r>
        <w:rPr>
          <w:lang w:val="es-ES"/>
        </w:rPr>
        <w:t>producto del efecto estacional que genera</w:t>
      </w:r>
      <w:r w:rsidR="000C34C0">
        <w:rPr>
          <w:lang w:val="es-ES"/>
        </w:rPr>
        <w:t xml:space="preserve"> el cobro del aguinaldo. </w:t>
      </w:r>
      <w:r w:rsidR="008B661A">
        <w:rPr>
          <w:lang w:val="es-ES"/>
        </w:rPr>
        <w:t>Sin embargo, e</w:t>
      </w:r>
      <w:r w:rsidR="000C34C0">
        <w:rPr>
          <w:lang w:val="es-ES"/>
        </w:rPr>
        <w:t xml:space="preserve">n esta oportunidad, </w:t>
      </w:r>
      <w:r w:rsidR="008B661A">
        <w:rPr>
          <w:lang w:val="es-ES"/>
        </w:rPr>
        <w:t>la</w:t>
      </w:r>
      <w:r>
        <w:rPr>
          <w:lang w:val="es-ES"/>
        </w:rPr>
        <w:t xml:space="preserve"> suba </w:t>
      </w:r>
      <w:r w:rsidR="00E56781">
        <w:rPr>
          <w:lang w:val="es-ES"/>
        </w:rPr>
        <w:t>estacional</w:t>
      </w:r>
      <w:r w:rsidR="000C34C0">
        <w:rPr>
          <w:lang w:val="es-ES"/>
        </w:rPr>
        <w:t xml:space="preserve"> </w:t>
      </w:r>
      <w:r w:rsidR="008B661A">
        <w:rPr>
          <w:lang w:val="es-ES"/>
        </w:rPr>
        <w:lastRenderedPageBreak/>
        <w:t>resulta</w:t>
      </w:r>
      <w:r>
        <w:rPr>
          <w:lang w:val="es-ES"/>
        </w:rPr>
        <w:t xml:space="preserve"> </w:t>
      </w:r>
      <w:r w:rsidR="00253305">
        <w:rPr>
          <w:lang w:val="es-ES"/>
        </w:rPr>
        <w:t xml:space="preserve">más </w:t>
      </w:r>
      <w:r>
        <w:rPr>
          <w:lang w:val="es-ES"/>
        </w:rPr>
        <w:t xml:space="preserve">moderada </w:t>
      </w:r>
      <w:r w:rsidR="00253305">
        <w:rPr>
          <w:lang w:val="es-ES"/>
        </w:rPr>
        <w:t>que en otros trimestres. En términos interanuales</w:t>
      </w:r>
      <w:r w:rsidR="000C34C0">
        <w:rPr>
          <w:lang w:val="es-ES"/>
        </w:rPr>
        <w:t>,</w:t>
      </w:r>
      <w:r w:rsidR="00253305">
        <w:rPr>
          <w:lang w:val="es-ES"/>
        </w:rPr>
        <w:t xml:space="preserve"> </w:t>
      </w:r>
      <w:r>
        <w:rPr>
          <w:lang w:val="es-ES"/>
        </w:rPr>
        <w:t xml:space="preserve">incluso se registra una leve </w:t>
      </w:r>
      <w:r w:rsidR="000C34C0">
        <w:rPr>
          <w:lang w:val="es-ES"/>
        </w:rPr>
        <w:t>reducción de la desigualdad</w:t>
      </w:r>
      <w:r>
        <w:rPr>
          <w:lang w:val="es-ES"/>
        </w:rPr>
        <w:t xml:space="preserve"> (vs. 0,447 en el 1er </w:t>
      </w:r>
      <w:proofErr w:type="spellStart"/>
      <w:r>
        <w:rPr>
          <w:lang w:val="es-ES"/>
        </w:rPr>
        <w:t>trim</w:t>
      </w:r>
      <w:proofErr w:type="spellEnd"/>
      <w:r>
        <w:rPr>
          <w:lang w:val="es-ES"/>
        </w:rPr>
        <w:t>. 2019).</w:t>
      </w:r>
    </w:p>
    <w:p w14:paraId="224B289B" w14:textId="77777777" w:rsidR="009244E9" w:rsidRDefault="009244E9" w:rsidP="009244E9">
      <w:pPr>
        <w:jc w:val="both"/>
        <w:rPr>
          <w:lang w:val="es-ES"/>
        </w:rPr>
      </w:pPr>
    </w:p>
    <w:p w14:paraId="38619554" w14:textId="77777777" w:rsidR="000C34C0" w:rsidRDefault="00E56781" w:rsidP="009244E9">
      <w:pPr>
        <w:jc w:val="both"/>
        <w:rPr>
          <w:lang w:val="es-ES"/>
        </w:rPr>
      </w:pPr>
      <w:r>
        <w:rPr>
          <w:lang w:val="es-ES"/>
        </w:rPr>
        <w:t>Por otra parte, l</w:t>
      </w:r>
      <w:r w:rsidR="000C34C0">
        <w:rPr>
          <w:lang w:val="es-ES"/>
        </w:rPr>
        <w:t xml:space="preserve">as brechas entre </w:t>
      </w:r>
      <w:r>
        <w:rPr>
          <w:lang w:val="es-ES"/>
        </w:rPr>
        <w:t>el decil 1 y el decil 10</w:t>
      </w:r>
      <w:r w:rsidR="000C34C0">
        <w:rPr>
          <w:lang w:val="es-ES"/>
        </w:rPr>
        <w:t xml:space="preserve"> indican que el </w:t>
      </w:r>
      <w:r>
        <w:rPr>
          <w:lang w:val="es-ES"/>
        </w:rPr>
        <w:t>10%</w:t>
      </w:r>
      <w:r w:rsidR="000C34C0">
        <w:rPr>
          <w:lang w:val="es-ES"/>
        </w:rPr>
        <w:t xml:space="preserve"> de</w:t>
      </w:r>
      <w:r>
        <w:rPr>
          <w:lang w:val="es-ES"/>
        </w:rPr>
        <w:t xml:space="preserve"> la población con</w:t>
      </w:r>
      <w:r w:rsidR="000C34C0">
        <w:rPr>
          <w:lang w:val="es-ES"/>
        </w:rPr>
        <w:t xml:space="preserve"> ingresos más altos gana en promedio 23 veces más que el </w:t>
      </w:r>
      <w:r>
        <w:rPr>
          <w:lang w:val="es-ES"/>
        </w:rPr>
        <w:t>10%</w:t>
      </w:r>
      <w:r w:rsidR="000C34C0">
        <w:rPr>
          <w:lang w:val="es-ES"/>
        </w:rPr>
        <w:t xml:space="preserve"> de ingresos más bajos, dos puntos más que en el cuarto trimestre (efecto esperable a causa del aguinaldo) y que en el mismo período del año anterior. Si en cambio se considera la mediana, la brecha entre ambos deciles es de 17 veces, lo que implica un incremento de un punto respecto al trimestre pasado y un estancamiento en términos interanuales.</w:t>
      </w:r>
    </w:p>
    <w:p w14:paraId="12AA9B40" w14:textId="77777777" w:rsidR="004E302C" w:rsidRDefault="004E302C" w:rsidP="009244E9">
      <w:pPr>
        <w:jc w:val="both"/>
        <w:rPr>
          <w:lang w:val="es-ES"/>
        </w:rPr>
      </w:pPr>
    </w:p>
    <w:p w14:paraId="361290A9" w14:textId="77777777" w:rsidR="000C34C0" w:rsidRDefault="000C34C0" w:rsidP="009244E9">
      <w:pPr>
        <w:jc w:val="both"/>
        <w:rPr>
          <w:lang w:val="es-ES"/>
        </w:rPr>
      </w:pPr>
      <w:r>
        <w:rPr>
          <w:lang w:val="es-ES"/>
        </w:rPr>
        <w:t xml:space="preserve">Producto de lo anterior, una rápida lectura de los indicadores puede conducir a conclusiones que en </w:t>
      </w:r>
      <w:r w:rsidR="00BB1BAF">
        <w:rPr>
          <w:lang w:val="es-ES"/>
        </w:rPr>
        <w:t>apariencia resultan</w:t>
      </w:r>
      <w:r>
        <w:rPr>
          <w:lang w:val="es-ES"/>
        </w:rPr>
        <w:t xml:space="preserve"> contradictorias: si se considera el coeficiente de Gini, la desigualdad mejora en </w:t>
      </w:r>
      <w:r w:rsidR="000052CF">
        <w:rPr>
          <w:lang w:val="es-ES"/>
        </w:rPr>
        <w:t>el año</w:t>
      </w:r>
      <w:r>
        <w:rPr>
          <w:lang w:val="es-ES"/>
        </w:rPr>
        <w:t xml:space="preserve">, mientras que si se </w:t>
      </w:r>
      <w:r w:rsidR="00632526">
        <w:rPr>
          <w:lang w:val="es-ES"/>
        </w:rPr>
        <w:t>observa</w:t>
      </w:r>
      <w:r>
        <w:rPr>
          <w:lang w:val="es-ES"/>
        </w:rPr>
        <w:t xml:space="preserve"> la brecha de ingresos medios, la desigualdad empeora. </w:t>
      </w:r>
      <w:r w:rsidR="00BB1BAF">
        <w:rPr>
          <w:lang w:val="es-ES"/>
        </w:rPr>
        <w:t xml:space="preserve">Esta aparente ambigüedad se aclara al </w:t>
      </w:r>
      <w:r w:rsidR="00E56781">
        <w:rPr>
          <w:lang w:val="es-ES"/>
        </w:rPr>
        <w:t xml:space="preserve">considerar las características intrínsecas de estos indicadores: a diferencia de las brechas que solo reflejan lo ocurrido entre el decil 1 y el decil 10, el </w:t>
      </w:r>
      <w:r w:rsidR="00632526">
        <w:rPr>
          <w:lang w:val="es-ES"/>
        </w:rPr>
        <w:t>c</w:t>
      </w:r>
      <w:r w:rsidR="00E56781">
        <w:rPr>
          <w:lang w:val="es-ES"/>
        </w:rPr>
        <w:t xml:space="preserve">oeficiente de Gini sintetiza lo ocurrido en la totalidad de la distribución.  Por lo tanto, para tener una comprensión más cabal de lo ocurrido resulta necesario </w:t>
      </w:r>
      <w:r w:rsidR="00BB1BAF">
        <w:rPr>
          <w:lang w:val="es-ES"/>
        </w:rPr>
        <w:t xml:space="preserve">observar </w:t>
      </w:r>
      <w:r w:rsidR="00E56781">
        <w:rPr>
          <w:lang w:val="es-ES"/>
        </w:rPr>
        <w:t>la dinámica experimentada</w:t>
      </w:r>
      <w:r w:rsidR="00BB1BAF">
        <w:rPr>
          <w:lang w:val="es-ES"/>
        </w:rPr>
        <w:t xml:space="preserve"> al interior de la estructura distributiva, teniendo en cuenta las distintas variables de ingresos involucradas en el marco de la situación socioeconómica en la que se inscriben. </w:t>
      </w:r>
    </w:p>
    <w:p w14:paraId="014475E5" w14:textId="77777777" w:rsidR="000C34C0" w:rsidRDefault="000C34C0" w:rsidP="009244E9">
      <w:pPr>
        <w:jc w:val="both"/>
        <w:rPr>
          <w:lang w:val="es-ES"/>
        </w:rPr>
      </w:pPr>
    </w:p>
    <w:p w14:paraId="3A6B8525" w14:textId="77777777" w:rsidR="00F83991" w:rsidRDefault="001D4803" w:rsidP="001D4803">
      <w:pPr>
        <w:jc w:val="both"/>
        <w:rPr>
          <w:lang w:val="es-ES"/>
        </w:rPr>
      </w:pPr>
      <w:r>
        <w:rPr>
          <w:lang w:val="es-ES"/>
        </w:rPr>
        <w:t>E</w:t>
      </w:r>
      <w:r w:rsidRPr="001D4803">
        <w:rPr>
          <w:lang w:val="es-ES"/>
        </w:rPr>
        <w:t>l i</w:t>
      </w:r>
      <w:r>
        <w:rPr>
          <w:lang w:val="es-ES"/>
        </w:rPr>
        <w:t xml:space="preserve">ngreso per cápita familiar promedio </w:t>
      </w:r>
      <w:r w:rsidRPr="001D4803">
        <w:rPr>
          <w:lang w:val="es-ES"/>
        </w:rPr>
        <w:t xml:space="preserve">en el trimestre </w:t>
      </w:r>
      <w:r>
        <w:rPr>
          <w:lang w:val="es-ES"/>
        </w:rPr>
        <w:t>presentó</w:t>
      </w:r>
      <w:r w:rsidRPr="001D4803">
        <w:rPr>
          <w:lang w:val="es-ES"/>
        </w:rPr>
        <w:t xml:space="preserve"> un incremento nominal del 20,8% que en términos reales implica una recomposición del 11%</w:t>
      </w:r>
      <w:r>
        <w:rPr>
          <w:lang w:val="es-ES"/>
        </w:rPr>
        <w:t>. Sin embargo</w:t>
      </w:r>
      <w:r w:rsidRPr="001D4803">
        <w:rPr>
          <w:lang w:val="es-ES"/>
        </w:rPr>
        <w:t xml:space="preserve">, esa mejora </w:t>
      </w:r>
      <w:r w:rsidR="008B53F9">
        <w:rPr>
          <w:lang w:val="es-ES"/>
        </w:rPr>
        <w:t xml:space="preserve">real </w:t>
      </w:r>
      <w:r w:rsidR="00F83991">
        <w:rPr>
          <w:lang w:val="es-ES"/>
        </w:rPr>
        <w:t>varió</w:t>
      </w:r>
      <w:r w:rsidRPr="001D4803">
        <w:rPr>
          <w:lang w:val="es-ES"/>
        </w:rPr>
        <w:t xml:space="preserve"> entre un 3,2% en el decil más bajo y un 12,4% en el más alto</w:t>
      </w:r>
      <w:r w:rsidR="00F83991">
        <w:rPr>
          <w:lang w:val="es-ES"/>
        </w:rPr>
        <w:t>, regresividad que</w:t>
      </w:r>
      <w:r w:rsidRPr="001D4803">
        <w:rPr>
          <w:lang w:val="es-ES"/>
        </w:rPr>
        <w:t xml:space="preserve"> se explica por el efecto del aguinaldo, en tanto los</w:t>
      </w:r>
      <w:r w:rsidR="00F83991">
        <w:rPr>
          <w:lang w:val="es-ES"/>
        </w:rPr>
        <w:t>/as</w:t>
      </w:r>
      <w:r w:rsidRPr="001D4803">
        <w:rPr>
          <w:lang w:val="es-ES"/>
        </w:rPr>
        <w:t xml:space="preserve"> trabajadores formales tienen mayor presencia en los deciles </w:t>
      </w:r>
      <w:r w:rsidR="008B661A">
        <w:rPr>
          <w:lang w:val="es-ES"/>
        </w:rPr>
        <w:t xml:space="preserve">de ingresos </w:t>
      </w:r>
      <w:r w:rsidRPr="001D4803">
        <w:rPr>
          <w:lang w:val="es-ES"/>
        </w:rPr>
        <w:t xml:space="preserve">más altos. </w:t>
      </w:r>
    </w:p>
    <w:p w14:paraId="49DFA3B3" w14:textId="77777777" w:rsidR="00F83991" w:rsidRDefault="00F83991" w:rsidP="001D4803">
      <w:pPr>
        <w:jc w:val="both"/>
        <w:rPr>
          <w:lang w:val="es-ES"/>
        </w:rPr>
      </w:pPr>
    </w:p>
    <w:p w14:paraId="2397E55E" w14:textId="77777777" w:rsidR="00F83991" w:rsidRDefault="001D4803" w:rsidP="001D4803">
      <w:pPr>
        <w:jc w:val="both"/>
        <w:rPr>
          <w:lang w:val="es-ES"/>
        </w:rPr>
      </w:pPr>
      <w:r w:rsidRPr="001D4803">
        <w:rPr>
          <w:lang w:val="es-ES"/>
        </w:rPr>
        <w:t xml:space="preserve">Al comparar con el mismo período del año anterior, se </w:t>
      </w:r>
      <w:r w:rsidR="00F83991">
        <w:rPr>
          <w:lang w:val="es-ES"/>
        </w:rPr>
        <w:t>verifica</w:t>
      </w:r>
      <w:r w:rsidR="000512DA">
        <w:rPr>
          <w:lang w:val="es-ES"/>
        </w:rPr>
        <w:t xml:space="preserve"> un</w:t>
      </w:r>
      <w:r w:rsidRPr="001D4803">
        <w:rPr>
          <w:lang w:val="es-ES"/>
        </w:rPr>
        <w:t xml:space="preserve"> </w:t>
      </w:r>
      <w:r w:rsidR="000512DA">
        <w:rPr>
          <w:lang w:val="es-ES"/>
        </w:rPr>
        <w:t>deterioro</w:t>
      </w:r>
      <w:r w:rsidRPr="001D4803">
        <w:rPr>
          <w:lang w:val="es-ES"/>
        </w:rPr>
        <w:t xml:space="preserve"> real </w:t>
      </w:r>
      <w:r w:rsidR="00F83991">
        <w:rPr>
          <w:lang w:val="es-ES"/>
        </w:rPr>
        <w:t xml:space="preserve">promedio </w:t>
      </w:r>
      <w:r w:rsidR="000512DA">
        <w:rPr>
          <w:lang w:val="es-ES"/>
        </w:rPr>
        <w:t xml:space="preserve">de los ingresos </w:t>
      </w:r>
      <w:r w:rsidRPr="001D4803">
        <w:rPr>
          <w:lang w:val="es-ES"/>
        </w:rPr>
        <w:t>del 1,5%</w:t>
      </w:r>
      <w:r w:rsidR="00F83991">
        <w:rPr>
          <w:lang w:val="es-ES"/>
        </w:rPr>
        <w:t xml:space="preserve">. En términos </w:t>
      </w:r>
      <w:r w:rsidR="008B661A">
        <w:rPr>
          <w:lang w:val="es-ES"/>
        </w:rPr>
        <w:t>del comportamiento relativo</w:t>
      </w:r>
      <w:r w:rsidR="00F83991">
        <w:rPr>
          <w:lang w:val="es-ES"/>
        </w:rPr>
        <w:t xml:space="preserve"> entre deciles</w:t>
      </w:r>
      <w:r w:rsidRPr="001D4803">
        <w:rPr>
          <w:lang w:val="es-ES"/>
        </w:rPr>
        <w:t xml:space="preserve">, </w:t>
      </w:r>
      <w:r w:rsidR="000512DA">
        <w:rPr>
          <w:lang w:val="es-ES"/>
        </w:rPr>
        <w:t>surgen</w:t>
      </w:r>
      <w:r w:rsidR="00F83991">
        <w:rPr>
          <w:lang w:val="es-ES"/>
        </w:rPr>
        <w:t xml:space="preserve"> dos características</w:t>
      </w:r>
      <w:r w:rsidR="000512DA">
        <w:rPr>
          <w:lang w:val="es-ES"/>
        </w:rPr>
        <w:t xml:space="preserve"> a destacar</w:t>
      </w:r>
      <w:r w:rsidR="00F83991">
        <w:rPr>
          <w:lang w:val="es-ES"/>
        </w:rPr>
        <w:t>:</w:t>
      </w:r>
    </w:p>
    <w:p w14:paraId="15470ABD" w14:textId="77777777" w:rsidR="00632526" w:rsidRDefault="00632526" w:rsidP="001D4803">
      <w:pPr>
        <w:jc w:val="both"/>
        <w:rPr>
          <w:lang w:val="es-ES"/>
        </w:rPr>
      </w:pPr>
    </w:p>
    <w:p w14:paraId="6173A1FD" w14:textId="77777777" w:rsidR="00F83991" w:rsidRDefault="00632526" w:rsidP="000512DA">
      <w:pPr>
        <w:pStyle w:val="Prrafodelista"/>
        <w:numPr>
          <w:ilvl w:val="0"/>
          <w:numId w:val="4"/>
        </w:numPr>
        <w:jc w:val="both"/>
        <w:rPr>
          <w:lang w:val="es-ES"/>
        </w:rPr>
      </w:pPr>
      <w:r>
        <w:rPr>
          <w:lang w:val="es-ES"/>
        </w:rPr>
        <w:t>El estrato medio de la distribución</w:t>
      </w:r>
      <w:r w:rsidR="00F83991">
        <w:rPr>
          <w:lang w:val="es-ES"/>
        </w:rPr>
        <w:t xml:space="preserve"> presenta una </w:t>
      </w:r>
      <w:r w:rsidR="000512DA">
        <w:rPr>
          <w:lang w:val="es-ES"/>
        </w:rPr>
        <w:t>situación levemente mejor</w:t>
      </w:r>
      <w:r w:rsidR="00F83991">
        <w:rPr>
          <w:lang w:val="es-ES"/>
        </w:rPr>
        <w:t xml:space="preserve"> </w:t>
      </w:r>
      <w:r w:rsidR="000512DA">
        <w:rPr>
          <w:lang w:val="es-ES"/>
        </w:rPr>
        <w:t xml:space="preserve">(o menos desfavorable, según el caso) </w:t>
      </w:r>
      <w:r w:rsidR="00F83991">
        <w:rPr>
          <w:lang w:val="es-ES"/>
        </w:rPr>
        <w:t xml:space="preserve">en relación a los deciles de ingresos más altos, lo cual explica </w:t>
      </w:r>
      <w:r w:rsidR="000512DA">
        <w:rPr>
          <w:lang w:val="es-ES"/>
        </w:rPr>
        <w:t>el descenso</w:t>
      </w:r>
      <w:r w:rsidR="00F83991">
        <w:rPr>
          <w:lang w:val="es-ES"/>
        </w:rPr>
        <w:t xml:space="preserve"> </w:t>
      </w:r>
      <w:r w:rsidR="000512DA">
        <w:rPr>
          <w:lang w:val="es-ES"/>
        </w:rPr>
        <w:t>d</w:t>
      </w:r>
      <w:r w:rsidR="00F83991">
        <w:rPr>
          <w:lang w:val="es-ES"/>
        </w:rPr>
        <w:t>el Gini.</w:t>
      </w:r>
    </w:p>
    <w:p w14:paraId="2C1A62FE" w14:textId="77777777" w:rsidR="00632526" w:rsidRDefault="00632526" w:rsidP="00632526">
      <w:pPr>
        <w:pStyle w:val="Prrafodelista"/>
        <w:jc w:val="both"/>
        <w:rPr>
          <w:lang w:val="es-ES"/>
        </w:rPr>
      </w:pPr>
    </w:p>
    <w:p w14:paraId="0B547C53" w14:textId="77777777" w:rsidR="00F83991" w:rsidRPr="000512DA" w:rsidRDefault="00F83991" w:rsidP="000512DA">
      <w:pPr>
        <w:pStyle w:val="Prrafodelista"/>
        <w:numPr>
          <w:ilvl w:val="0"/>
          <w:numId w:val="4"/>
        </w:numPr>
        <w:jc w:val="both"/>
        <w:rPr>
          <w:lang w:val="es-ES"/>
        </w:rPr>
      </w:pPr>
      <w:r>
        <w:rPr>
          <w:lang w:val="es-ES"/>
        </w:rPr>
        <w:t xml:space="preserve">El 10% de ingresos más bajos registra la peor </w:t>
      </w:r>
      <w:r w:rsidR="000512DA">
        <w:rPr>
          <w:lang w:val="es-ES"/>
        </w:rPr>
        <w:t>performance</w:t>
      </w:r>
      <w:r w:rsidRPr="000512DA">
        <w:rPr>
          <w:lang w:val="es-ES"/>
        </w:rPr>
        <w:t xml:space="preserve">, en tanto </w:t>
      </w:r>
      <w:r w:rsidR="000512DA" w:rsidRPr="000512DA">
        <w:rPr>
          <w:lang w:val="es-ES"/>
        </w:rPr>
        <w:t>experimentó</w:t>
      </w:r>
      <w:r w:rsidRPr="000512DA">
        <w:rPr>
          <w:lang w:val="es-ES"/>
        </w:rPr>
        <w:t xml:space="preserve"> un deterioro real de los ingresos del 9,1%.</w:t>
      </w:r>
      <w:r w:rsidR="000512DA" w:rsidRPr="000512DA">
        <w:rPr>
          <w:lang w:val="es-ES"/>
        </w:rPr>
        <w:t xml:space="preserve"> De allí que la brecha entre deciles aument</w:t>
      </w:r>
      <w:r w:rsidR="008B53F9">
        <w:rPr>
          <w:lang w:val="es-ES"/>
        </w:rPr>
        <w:t>e</w:t>
      </w:r>
      <w:r w:rsidR="000512DA" w:rsidRPr="000512DA">
        <w:rPr>
          <w:lang w:val="es-ES"/>
        </w:rPr>
        <w:t xml:space="preserve"> en el mismo período.</w:t>
      </w:r>
      <w:r w:rsidR="006E58C7">
        <w:rPr>
          <w:lang w:val="es-ES"/>
        </w:rPr>
        <w:t xml:space="preserve"> </w:t>
      </w:r>
    </w:p>
    <w:p w14:paraId="43322BA8" w14:textId="77777777" w:rsidR="00F83991" w:rsidRDefault="00F83991" w:rsidP="001D4803">
      <w:pPr>
        <w:jc w:val="both"/>
        <w:rPr>
          <w:lang w:val="es-ES"/>
        </w:rPr>
      </w:pPr>
    </w:p>
    <w:p w14:paraId="76C1AC03" w14:textId="77777777" w:rsidR="001D4803" w:rsidRDefault="001D4803" w:rsidP="009244E9">
      <w:pPr>
        <w:jc w:val="both"/>
        <w:rPr>
          <w:lang w:val="es-ES"/>
        </w:rPr>
      </w:pPr>
    </w:p>
    <w:p w14:paraId="7EF0E313" w14:textId="77777777" w:rsidR="000512DA" w:rsidRDefault="000512DA" w:rsidP="009244E9">
      <w:pPr>
        <w:jc w:val="both"/>
        <w:rPr>
          <w:lang w:val="es-ES"/>
        </w:rPr>
      </w:pPr>
    </w:p>
    <w:p w14:paraId="7A4456FF" w14:textId="77777777" w:rsidR="00632526" w:rsidRDefault="00632526" w:rsidP="009244E9">
      <w:pPr>
        <w:jc w:val="both"/>
        <w:rPr>
          <w:lang w:val="es-ES"/>
        </w:rPr>
      </w:pPr>
    </w:p>
    <w:p w14:paraId="2ACA61A9" w14:textId="77777777" w:rsidR="00632526" w:rsidRDefault="00632526" w:rsidP="009244E9">
      <w:pPr>
        <w:jc w:val="both"/>
        <w:rPr>
          <w:lang w:val="es-ES"/>
        </w:rPr>
      </w:pPr>
    </w:p>
    <w:p w14:paraId="31114EF6" w14:textId="77777777" w:rsidR="00632526" w:rsidRDefault="00632526" w:rsidP="009244E9">
      <w:pPr>
        <w:jc w:val="both"/>
        <w:rPr>
          <w:lang w:val="es-ES"/>
        </w:rPr>
      </w:pPr>
    </w:p>
    <w:p w14:paraId="000F008C" w14:textId="77777777" w:rsidR="00632526" w:rsidRDefault="00632526" w:rsidP="009244E9">
      <w:pPr>
        <w:jc w:val="both"/>
        <w:rPr>
          <w:lang w:val="es-ES"/>
        </w:rPr>
      </w:pPr>
    </w:p>
    <w:p w14:paraId="5A94B1C8" w14:textId="77777777" w:rsidR="00632526" w:rsidRDefault="00632526" w:rsidP="009244E9">
      <w:pPr>
        <w:jc w:val="both"/>
        <w:rPr>
          <w:lang w:val="es-ES"/>
        </w:rPr>
      </w:pPr>
    </w:p>
    <w:p w14:paraId="157524F8" w14:textId="77777777" w:rsidR="00632526" w:rsidRDefault="00632526" w:rsidP="009244E9">
      <w:pPr>
        <w:jc w:val="both"/>
        <w:rPr>
          <w:lang w:val="es-ES"/>
        </w:rPr>
      </w:pPr>
    </w:p>
    <w:p w14:paraId="4A180101" w14:textId="77777777" w:rsidR="00632526" w:rsidRDefault="00632526" w:rsidP="009244E9">
      <w:pPr>
        <w:jc w:val="both"/>
        <w:rPr>
          <w:lang w:val="es-ES"/>
        </w:rPr>
      </w:pPr>
    </w:p>
    <w:p w14:paraId="15EB6513" w14:textId="77777777" w:rsidR="00E56781" w:rsidRDefault="001D4803" w:rsidP="000512DA">
      <w:pPr>
        <w:ind w:left="709"/>
        <w:rPr>
          <w:lang w:val="es-ES"/>
        </w:rPr>
      </w:pPr>
      <w:r w:rsidRPr="000512DA">
        <w:rPr>
          <w:b/>
          <w:lang w:val="es-ES"/>
        </w:rPr>
        <w:lastRenderedPageBreak/>
        <w:t>Cuadro 1.</w:t>
      </w:r>
      <w:r>
        <w:rPr>
          <w:lang w:val="es-ES"/>
        </w:rPr>
        <w:t xml:space="preserve"> Población</w:t>
      </w:r>
      <w:r w:rsidR="008B661A">
        <w:rPr>
          <w:lang w:val="es-ES"/>
        </w:rPr>
        <w:t xml:space="preserve"> total</w:t>
      </w:r>
      <w:r>
        <w:rPr>
          <w:lang w:val="es-ES"/>
        </w:rPr>
        <w:t xml:space="preserve"> según </w:t>
      </w:r>
      <w:r w:rsidR="008B661A">
        <w:rPr>
          <w:lang w:val="es-ES"/>
        </w:rPr>
        <w:t xml:space="preserve">escala </w:t>
      </w:r>
      <w:proofErr w:type="spellStart"/>
      <w:r w:rsidR="008B661A">
        <w:rPr>
          <w:lang w:val="es-ES"/>
        </w:rPr>
        <w:t>decílica</w:t>
      </w:r>
      <w:proofErr w:type="spellEnd"/>
      <w:r w:rsidR="008B661A">
        <w:rPr>
          <w:lang w:val="es-ES"/>
        </w:rPr>
        <w:t xml:space="preserve"> de </w:t>
      </w:r>
      <w:r>
        <w:rPr>
          <w:lang w:val="es-ES"/>
        </w:rPr>
        <w:t>ingreso per cápita familiar</w:t>
      </w:r>
      <w:r w:rsidR="000512DA">
        <w:rPr>
          <w:lang w:val="es-ES"/>
        </w:rPr>
        <w:t>. Variación nominal y real.</w:t>
      </w:r>
      <w:r w:rsidR="008B661A">
        <w:rPr>
          <w:lang w:val="es-ES"/>
        </w:rPr>
        <w:t xml:space="preserve"> </w:t>
      </w:r>
      <w:r w:rsidR="000512DA">
        <w:rPr>
          <w:lang w:val="es-ES"/>
        </w:rPr>
        <w:t xml:space="preserve">1er </w:t>
      </w:r>
      <w:proofErr w:type="spellStart"/>
      <w:r w:rsidR="000512DA">
        <w:rPr>
          <w:lang w:val="es-ES"/>
        </w:rPr>
        <w:t>trim</w:t>
      </w:r>
      <w:proofErr w:type="spellEnd"/>
      <w:r w:rsidR="000512DA">
        <w:rPr>
          <w:lang w:val="es-ES"/>
        </w:rPr>
        <w:t xml:space="preserve">. 2019-1er </w:t>
      </w:r>
      <w:proofErr w:type="spellStart"/>
      <w:r w:rsidR="000512DA">
        <w:rPr>
          <w:lang w:val="es-ES"/>
        </w:rPr>
        <w:t>trim</w:t>
      </w:r>
      <w:proofErr w:type="spellEnd"/>
      <w:r w:rsidR="000512DA">
        <w:rPr>
          <w:lang w:val="es-ES"/>
        </w:rPr>
        <w:t>. 2020.</w:t>
      </w:r>
    </w:p>
    <w:tbl>
      <w:tblPr>
        <w:tblW w:w="7304" w:type="dxa"/>
        <w:jc w:val="center"/>
        <w:tblCellMar>
          <w:left w:w="70" w:type="dxa"/>
          <w:right w:w="70" w:type="dxa"/>
        </w:tblCellMar>
        <w:tblLook w:val="04A0" w:firstRow="1" w:lastRow="0" w:firstColumn="1" w:lastColumn="0" w:noHBand="0" w:noVBand="1"/>
      </w:tblPr>
      <w:tblGrid>
        <w:gridCol w:w="1394"/>
        <w:gridCol w:w="719"/>
        <w:gridCol w:w="719"/>
        <w:gridCol w:w="719"/>
        <w:gridCol w:w="980"/>
        <w:gridCol w:w="980"/>
        <w:gridCol w:w="941"/>
        <w:gridCol w:w="852"/>
      </w:tblGrid>
      <w:tr w:rsidR="00E56781" w:rsidRPr="00526BD6" w14:paraId="436F579E" w14:textId="77777777" w:rsidTr="00E56781">
        <w:trPr>
          <w:trHeight w:val="255"/>
          <w:jc w:val="center"/>
        </w:trPr>
        <w:tc>
          <w:tcPr>
            <w:tcW w:w="1394" w:type="dxa"/>
            <w:vMerge w:val="restart"/>
            <w:tcBorders>
              <w:top w:val="single" w:sz="4" w:space="0" w:color="auto"/>
              <w:left w:val="single" w:sz="4" w:space="0" w:color="auto"/>
              <w:bottom w:val="single" w:sz="4" w:space="0" w:color="000000"/>
              <w:right w:val="single" w:sz="4" w:space="0" w:color="auto"/>
            </w:tcBorders>
            <w:shd w:val="clear" w:color="auto" w:fill="0070C0"/>
            <w:vAlign w:val="bottom"/>
            <w:hideMark/>
          </w:tcPr>
          <w:p w14:paraId="029137FD"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Número de decil</w:t>
            </w:r>
          </w:p>
        </w:tc>
        <w:tc>
          <w:tcPr>
            <w:tcW w:w="2157" w:type="dxa"/>
            <w:gridSpan w:val="3"/>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81D8D39"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E56781">
              <w:rPr>
                <w:rFonts w:ascii="Arial" w:eastAsia="Times New Roman" w:hAnsi="Arial" w:cs="Arial"/>
                <w:color w:val="FFFFFF" w:themeColor="background1"/>
                <w:sz w:val="16"/>
                <w:szCs w:val="16"/>
                <w:lang w:eastAsia="es-AR"/>
              </w:rPr>
              <w:t>Ingresos medios</w:t>
            </w:r>
            <w:r>
              <w:rPr>
                <w:rFonts w:ascii="Arial" w:eastAsia="Times New Roman" w:hAnsi="Arial" w:cs="Arial"/>
                <w:color w:val="FFFFFF" w:themeColor="background1"/>
                <w:sz w:val="16"/>
                <w:szCs w:val="16"/>
                <w:lang w:eastAsia="es-AR"/>
              </w:rPr>
              <w:t xml:space="preserve"> (en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0BF92E9"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Variación nominal</w:t>
            </w:r>
          </w:p>
        </w:tc>
        <w:tc>
          <w:tcPr>
            <w:tcW w:w="1793" w:type="dxa"/>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073BEE7" w14:textId="77777777" w:rsidR="00E56781" w:rsidRPr="00526BD6" w:rsidRDefault="00E56781" w:rsidP="00E56781">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 xml:space="preserve">Variación </w:t>
            </w:r>
            <w:r>
              <w:rPr>
                <w:rFonts w:ascii="Arial" w:eastAsia="Times New Roman" w:hAnsi="Arial" w:cs="Arial"/>
                <w:color w:val="FFFFFF" w:themeColor="background1"/>
                <w:sz w:val="16"/>
                <w:szCs w:val="16"/>
                <w:lang w:eastAsia="es-AR"/>
              </w:rPr>
              <w:t>real</w:t>
            </w:r>
          </w:p>
        </w:tc>
      </w:tr>
      <w:tr w:rsidR="00E56781" w:rsidRPr="00526BD6" w14:paraId="18A12C6C" w14:textId="77777777" w:rsidTr="00E56781">
        <w:trPr>
          <w:trHeight w:val="255"/>
          <w:jc w:val="center"/>
        </w:trPr>
        <w:tc>
          <w:tcPr>
            <w:tcW w:w="1394" w:type="dxa"/>
            <w:vMerge/>
            <w:tcBorders>
              <w:top w:val="single" w:sz="4" w:space="0" w:color="auto"/>
              <w:left w:val="single" w:sz="4" w:space="0" w:color="auto"/>
              <w:bottom w:val="single" w:sz="4" w:space="0" w:color="000000"/>
              <w:right w:val="single" w:sz="4" w:space="0" w:color="auto"/>
            </w:tcBorders>
            <w:shd w:val="clear" w:color="auto" w:fill="0070C0"/>
            <w:vAlign w:val="center"/>
            <w:hideMark/>
          </w:tcPr>
          <w:p w14:paraId="21812EFA" w14:textId="77777777" w:rsidR="00E56781" w:rsidRPr="00526BD6" w:rsidRDefault="00E56781" w:rsidP="00B1771A">
            <w:pPr>
              <w:rPr>
                <w:rFonts w:ascii="Arial" w:eastAsia="Times New Roman" w:hAnsi="Arial" w:cs="Arial"/>
                <w:color w:val="FFFFFF" w:themeColor="background1"/>
                <w:sz w:val="16"/>
                <w:szCs w:val="16"/>
                <w:lang w:eastAsia="es-AR"/>
              </w:rPr>
            </w:pPr>
          </w:p>
        </w:tc>
        <w:tc>
          <w:tcPr>
            <w:tcW w:w="71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3F3F9D8"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1T19</w:t>
            </w:r>
          </w:p>
        </w:tc>
        <w:tc>
          <w:tcPr>
            <w:tcW w:w="71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1C4C92E"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4T19</w:t>
            </w:r>
          </w:p>
        </w:tc>
        <w:tc>
          <w:tcPr>
            <w:tcW w:w="71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566D157"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1T20</w:t>
            </w:r>
          </w:p>
        </w:tc>
        <w:tc>
          <w:tcPr>
            <w:tcW w:w="9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479B22C"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Trimestral</w:t>
            </w:r>
          </w:p>
        </w:tc>
        <w:tc>
          <w:tcPr>
            <w:tcW w:w="9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BB52B55"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Interanual</w:t>
            </w:r>
          </w:p>
        </w:tc>
        <w:tc>
          <w:tcPr>
            <w:tcW w:w="94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04C44B3"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Trimestral</w:t>
            </w:r>
          </w:p>
        </w:tc>
        <w:tc>
          <w:tcPr>
            <w:tcW w:w="85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8F48BBA" w14:textId="77777777" w:rsidR="00E56781" w:rsidRPr="00526BD6" w:rsidRDefault="00E56781" w:rsidP="00B1771A">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Interanual</w:t>
            </w:r>
          </w:p>
        </w:tc>
      </w:tr>
      <w:tr w:rsidR="00E56781" w:rsidRPr="00526BD6" w14:paraId="1C4D2C09" w14:textId="77777777" w:rsidTr="00E56781">
        <w:trPr>
          <w:trHeight w:val="255"/>
          <w:jc w:val="center"/>
        </w:trPr>
        <w:tc>
          <w:tcPr>
            <w:tcW w:w="1394" w:type="dxa"/>
            <w:tcBorders>
              <w:top w:val="nil"/>
              <w:left w:val="single" w:sz="4" w:space="0" w:color="auto"/>
              <w:bottom w:val="nil"/>
              <w:right w:val="single" w:sz="4" w:space="0" w:color="auto"/>
            </w:tcBorders>
            <w:shd w:val="clear" w:color="auto" w:fill="auto"/>
            <w:vAlign w:val="bottom"/>
            <w:hideMark/>
          </w:tcPr>
          <w:p w14:paraId="7A31FA81" w14:textId="77777777" w:rsidR="00E56781" w:rsidRPr="00526BD6" w:rsidRDefault="00E56781" w:rsidP="00B1771A">
            <w:pPr>
              <w:rPr>
                <w:rFonts w:ascii="Arial" w:eastAsia="Times New Roman" w:hAnsi="Arial" w:cs="Arial"/>
                <w:sz w:val="16"/>
                <w:szCs w:val="16"/>
                <w:lang w:eastAsia="es-AR"/>
              </w:rPr>
            </w:pPr>
          </w:p>
        </w:tc>
        <w:tc>
          <w:tcPr>
            <w:tcW w:w="719" w:type="dxa"/>
            <w:tcBorders>
              <w:top w:val="single" w:sz="4" w:space="0" w:color="auto"/>
              <w:left w:val="single" w:sz="4" w:space="0" w:color="auto"/>
              <w:bottom w:val="nil"/>
              <w:right w:val="single" w:sz="4" w:space="0" w:color="auto"/>
            </w:tcBorders>
            <w:shd w:val="clear" w:color="auto" w:fill="auto"/>
            <w:vAlign w:val="bottom"/>
            <w:hideMark/>
          </w:tcPr>
          <w:p w14:paraId="6A642DCF" w14:textId="77777777" w:rsidR="00E56781" w:rsidRPr="00526BD6" w:rsidRDefault="00E56781" w:rsidP="00B1771A">
            <w:pPr>
              <w:rPr>
                <w:rFonts w:ascii="Arial" w:eastAsia="Times New Roman" w:hAnsi="Arial" w:cs="Arial"/>
                <w:sz w:val="16"/>
                <w:szCs w:val="16"/>
                <w:lang w:eastAsia="es-AR"/>
              </w:rPr>
            </w:pPr>
          </w:p>
        </w:tc>
        <w:tc>
          <w:tcPr>
            <w:tcW w:w="719" w:type="dxa"/>
            <w:tcBorders>
              <w:top w:val="single" w:sz="4" w:space="0" w:color="auto"/>
              <w:left w:val="single" w:sz="4" w:space="0" w:color="auto"/>
              <w:bottom w:val="nil"/>
              <w:right w:val="single" w:sz="4" w:space="0" w:color="auto"/>
            </w:tcBorders>
            <w:shd w:val="clear" w:color="auto" w:fill="auto"/>
            <w:vAlign w:val="bottom"/>
            <w:hideMark/>
          </w:tcPr>
          <w:p w14:paraId="203E3D49" w14:textId="77777777" w:rsidR="00E56781" w:rsidRPr="00526BD6" w:rsidRDefault="00E56781" w:rsidP="00B1771A">
            <w:pPr>
              <w:rPr>
                <w:rFonts w:ascii="Arial" w:eastAsia="Times New Roman" w:hAnsi="Arial" w:cs="Arial"/>
                <w:sz w:val="16"/>
                <w:szCs w:val="16"/>
                <w:lang w:eastAsia="es-AR"/>
              </w:rPr>
            </w:pPr>
          </w:p>
        </w:tc>
        <w:tc>
          <w:tcPr>
            <w:tcW w:w="719" w:type="dxa"/>
            <w:tcBorders>
              <w:top w:val="single" w:sz="4" w:space="0" w:color="auto"/>
              <w:left w:val="single" w:sz="4" w:space="0" w:color="auto"/>
              <w:bottom w:val="nil"/>
              <w:right w:val="single" w:sz="4" w:space="0" w:color="auto"/>
            </w:tcBorders>
            <w:shd w:val="clear" w:color="auto" w:fill="auto"/>
            <w:vAlign w:val="bottom"/>
            <w:hideMark/>
          </w:tcPr>
          <w:p w14:paraId="0EC1E041" w14:textId="77777777" w:rsidR="00E56781" w:rsidRPr="00526BD6" w:rsidRDefault="00E56781" w:rsidP="00B1771A">
            <w:pPr>
              <w:rPr>
                <w:rFonts w:ascii="Arial" w:eastAsia="Times New Roman" w:hAnsi="Arial" w:cs="Arial"/>
                <w:sz w:val="16"/>
                <w:szCs w:val="16"/>
                <w:lang w:eastAsia="es-AR"/>
              </w:rPr>
            </w:pPr>
          </w:p>
        </w:tc>
        <w:tc>
          <w:tcPr>
            <w:tcW w:w="980" w:type="dxa"/>
            <w:tcBorders>
              <w:top w:val="single" w:sz="4" w:space="0" w:color="auto"/>
              <w:left w:val="single" w:sz="4" w:space="0" w:color="auto"/>
              <w:bottom w:val="nil"/>
              <w:right w:val="single" w:sz="4" w:space="0" w:color="auto"/>
            </w:tcBorders>
            <w:shd w:val="clear" w:color="auto" w:fill="auto"/>
            <w:noWrap/>
            <w:vAlign w:val="bottom"/>
            <w:hideMark/>
          </w:tcPr>
          <w:p w14:paraId="3EC4E312" w14:textId="77777777" w:rsidR="00E56781" w:rsidRPr="00526BD6" w:rsidRDefault="00E56781" w:rsidP="00B1771A">
            <w:pPr>
              <w:rPr>
                <w:rFonts w:ascii="Arial" w:eastAsia="Times New Roman" w:hAnsi="Arial" w:cs="Arial"/>
                <w:sz w:val="20"/>
                <w:szCs w:val="20"/>
                <w:lang w:eastAsia="es-AR"/>
              </w:rPr>
            </w:pPr>
          </w:p>
        </w:tc>
        <w:tc>
          <w:tcPr>
            <w:tcW w:w="980" w:type="dxa"/>
            <w:tcBorders>
              <w:top w:val="single" w:sz="4" w:space="0" w:color="auto"/>
              <w:left w:val="single" w:sz="4" w:space="0" w:color="auto"/>
              <w:bottom w:val="nil"/>
              <w:right w:val="single" w:sz="4" w:space="0" w:color="auto"/>
            </w:tcBorders>
            <w:shd w:val="clear" w:color="auto" w:fill="auto"/>
            <w:noWrap/>
            <w:vAlign w:val="bottom"/>
            <w:hideMark/>
          </w:tcPr>
          <w:p w14:paraId="224811FE" w14:textId="77777777" w:rsidR="00E56781" w:rsidRPr="00526BD6" w:rsidRDefault="00E56781" w:rsidP="00B1771A">
            <w:pPr>
              <w:rPr>
                <w:rFonts w:ascii="Arial" w:eastAsia="Times New Roman" w:hAnsi="Arial" w:cs="Arial"/>
                <w:sz w:val="20"/>
                <w:szCs w:val="20"/>
                <w:lang w:eastAsia="es-AR"/>
              </w:rPr>
            </w:pPr>
          </w:p>
        </w:tc>
        <w:tc>
          <w:tcPr>
            <w:tcW w:w="941" w:type="dxa"/>
            <w:tcBorders>
              <w:top w:val="single" w:sz="4" w:space="0" w:color="auto"/>
              <w:left w:val="single" w:sz="4" w:space="0" w:color="auto"/>
              <w:bottom w:val="nil"/>
              <w:right w:val="single" w:sz="4" w:space="0" w:color="auto"/>
            </w:tcBorders>
            <w:shd w:val="clear" w:color="auto" w:fill="auto"/>
            <w:noWrap/>
            <w:vAlign w:val="bottom"/>
            <w:hideMark/>
          </w:tcPr>
          <w:p w14:paraId="41E6F8B1" w14:textId="77777777" w:rsidR="00E56781" w:rsidRPr="00526BD6" w:rsidRDefault="00E56781" w:rsidP="00B1771A">
            <w:pPr>
              <w:rPr>
                <w:rFonts w:ascii="Arial" w:eastAsia="Times New Roman" w:hAnsi="Arial" w:cs="Arial"/>
                <w:sz w:val="20"/>
                <w:szCs w:val="20"/>
                <w:lang w:eastAsia="es-AR"/>
              </w:rPr>
            </w:pPr>
          </w:p>
        </w:tc>
        <w:tc>
          <w:tcPr>
            <w:tcW w:w="852" w:type="dxa"/>
            <w:tcBorders>
              <w:top w:val="single" w:sz="4" w:space="0" w:color="auto"/>
              <w:left w:val="single" w:sz="4" w:space="0" w:color="auto"/>
              <w:bottom w:val="nil"/>
              <w:right w:val="single" w:sz="4" w:space="0" w:color="auto"/>
            </w:tcBorders>
            <w:shd w:val="clear" w:color="auto" w:fill="auto"/>
            <w:noWrap/>
            <w:vAlign w:val="bottom"/>
            <w:hideMark/>
          </w:tcPr>
          <w:p w14:paraId="54DF79B6" w14:textId="77777777" w:rsidR="00E56781" w:rsidRPr="00526BD6" w:rsidRDefault="00E56781" w:rsidP="00B1771A">
            <w:pPr>
              <w:rPr>
                <w:rFonts w:ascii="Arial" w:eastAsia="Times New Roman" w:hAnsi="Arial" w:cs="Arial"/>
                <w:sz w:val="20"/>
                <w:szCs w:val="20"/>
                <w:lang w:eastAsia="es-AR"/>
              </w:rPr>
            </w:pPr>
          </w:p>
        </w:tc>
      </w:tr>
      <w:tr w:rsidR="00E56781" w:rsidRPr="00526BD6" w14:paraId="13EC0ACF" w14:textId="77777777" w:rsidTr="0099130B">
        <w:trPr>
          <w:trHeight w:val="102"/>
          <w:jc w:val="center"/>
        </w:trPr>
        <w:tc>
          <w:tcPr>
            <w:tcW w:w="1394" w:type="dxa"/>
            <w:tcBorders>
              <w:top w:val="nil"/>
              <w:left w:val="single" w:sz="4" w:space="0" w:color="auto"/>
              <w:bottom w:val="nil"/>
              <w:right w:val="single" w:sz="4" w:space="0" w:color="auto"/>
            </w:tcBorders>
            <w:shd w:val="clear" w:color="auto" w:fill="auto"/>
            <w:vAlign w:val="bottom"/>
            <w:hideMark/>
          </w:tcPr>
          <w:p w14:paraId="579F24D8"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1</w:t>
            </w:r>
          </w:p>
        </w:tc>
        <w:tc>
          <w:tcPr>
            <w:tcW w:w="719" w:type="dxa"/>
            <w:tcBorders>
              <w:top w:val="nil"/>
              <w:left w:val="single" w:sz="4" w:space="0" w:color="auto"/>
              <w:bottom w:val="nil"/>
              <w:right w:val="single" w:sz="4" w:space="0" w:color="auto"/>
            </w:tcBorders>
            <w:shd w:val="clear" w:color="auto" w:fill="auto"/>
            <w:vAlign w:val="bottom"/>
            <w:hideMark/>
          </w:tcPr>
          <w:p w14:paraId="0F55489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2.080</w:t>
            </w:r>
          </w:p>
        </w:tc>
        <w:tc>
          <w:tcPr>
            <w:tcW w:w="719" w:type="dxa"/>
            <w:tcBorders>
              <w:top w:val="nil"/>
              <w:left w:val="single" w:sz="4" w:space="0" w:color="auto"/>
              <w:bottom w:val="nil"/>
              <w:right w:val="single" w:sz="4" w:space="0" w:color="auto"/>
            </w:tcBorders>
            <w:shd w:val="clear" w:color="auto" w:fill="auto"/>
            <w:vAlign w:val="bottom"/>
            <w:hideMark/>
          </w:tcPr>
          <w:p w14:paraId="55CD8AD6"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2.531</w:t>
            </w:r>
          </w:p>
        </w:tc>
        <w:tc>
          <w:tcPr>
            <w:tcW w:w="719" w:type="dxa"/>
            <w:tcBorders>
              <w:top w:val="nil"/>
              <w:left w:val="single" w:sz="4" w:space="0" w:color="auto"/>
              <w:bottom w:val="nil"/>
              <w:right w:val="single" w:sz="4" w:space="0" w:color="auto"/>
            </w:tcBorders>
            <w:shd w:val="clear" w:color="auto" w:fill="auto"/>
            <w:vAlign w:val="bottom"/>
            <w:hideMark/>
          </w:tcPr>
          <w:p w14:paraId="49541B5E"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2.844</w:t>
            </w:r>
          </w:p>
        </w:tc>
        <w:tc>
          <w:tcPr>
            <w:tcW w:w="980" w:type="dxa"/>
            <w:tcBorders>
              <w:top w:val="nil"/>
              <w:left w:val="single" w:sz="4" w:space="0" w:color="auto"/>
              <w:bottom w:val="nil"/>
              <w:right w:val="single" w:sz="4" w:space="0" w:color="auto"/>
            </w:tcBorders>
            <w:shd w:val="clear" w:color="auto" w:fill="auto"/>
            <w:noWrap/>
            <w:vAlign w:val="bottom"/>
            <w:hideMark/>
          </w:tcPr>
          <w:p w14:paraId="3AAAC70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12,4%</w:t>
            </w:r>
          </w:p>
        </w:tc>
        <w:tc>
          <w:tcPr>
            <w:tcW w:w="980" w:type="dxa"/>
            <w:tcBorders>
              <w:top w:val="nil"/>
              <w:left w:val="single" w:sz="4" w:space="0" w:color="auto"/>
              <w:bottom w:val="nil"/>
              <w:right w:val="single" w:sz="4" w:space="0" w:color="auto"/>
            </w:tcBorders>
            <w:shd w:val="clear" w:color="auto" w:fill="auto"/>
            <w:noWrap/>
            <w:vAlign w:val="bottom"/>
            <w:hideMark/>
          </w:tcPr>
          <w:p w14:paraId="44A153BF"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36,7%</w:t>
            </w:r>
          </w:p>
        </w:tc>
        <w:tc>
          <w:tcPr>
            <w:tcW w:w="941" w:type="dxa"/>
            <w:tcBorders>
              <w:top w:val="nil"/>
              <w:left w:val="single" w:sz="4" w:space="0" w:color="auto"/>
              <w:bottom w:val="nil"/>
              <w:right w:val="single" w:sz="4" w:space="0" w:color="auto"/>
            </w:tcBorders>
            <w:shd w:val="clear" w:color="auto" w:fill="auto"/>
            <w:noWrap/>
            <w:vAlign w:val="bottom"/>
            <w:hideMark/>
          </w:tcPr>
          <w:p w14:paraId="7C168CD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3,2%</w:t>
            </w:r>
          </w:p>
        </w:tc>
        <w:tc>
          <w:tcPr>
            <w:tcW w:w="852" w:type="dxa"/>
            <w:tcBorders>
              <w:top w:val="nil"/>
              <w:left w:val="single" w:sz="4" w:space="0" w:color="auto"/>
              <w:bottom w:val="nil"/>
              <w:right w:val="single" w:sz="4" w:space="0" w:color="auto"/>
            </w:tcBorders>
            <w:shd w:val="clear" w:color="auto" w:fill="auto"/>
            <w:noWrap/>
            <w:vAlign w:val="bottom"/>
            <w:hideMark/>
          </w:tcPr>
          <w:p w14:paraId="0825243E"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-9,1%</w:t>
            </w:r>
          </w:p>
        </w:tc>
      </w:tr>
      <w:tr w:rsidR="00E56781" w:rsidRPr="00526BD6" w14:paraId="66A67109" w14:textId="77777777" w:rsidTr="00E56781">
        <w:trPr>
          <w:trHeight w:val="255"/>
          <w:jc w:val="center"/>
        </w:trPr>
        <w:tc>
          <w:tcPr>
            <w:tcW w:w="1394" w:type="dxa"/>
            <w:tcBorders>
              <w:top w:val="nil"/>
              <w:left w:val="single" w:sz="4" w:space="0" w:color="auto"/>
              <w:bottom w:val="nil"/>
              <w:right w:val="single" w:sz="4" w:space="0" w:color="auto"/>
            </w:tcBorders>
            <w:shd w:val="clear" w:color="auto" w:fill="auto"/>
            <w:vAlign w:val="bottom"/>
            <w:hideMark/>
          </w:tcPr>
          <w:p w14:paraId="61676816"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2</w:t>
            </w:r>
          </w:p>
        </w:tc>
        <w:tc>
          <w:tcPr>
            <w:tcW w:w="719" w:type="dxa"/>
            <w:tcBorders>
              <w:top w:val="nil"/>
              <w:left w:val="single" w:sz="4" w:space="0" w:color="auto"/>
              <w:bottom w:val="nil"/>
              <w:right w:val="single" w:sz="4" w:space="0" w:color="auto"/>
            </w:tcBorders>
            <w:shd w:val="clear" w:color="auto" w:fill="auto"/>
            <w:vAlign w:val="bottom"/>
            <w:hideMark/>
          </w:tcPr>
          <w:p w14:paraId="5710F95E"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3.942</w:t>
            </w:r>
          </w:p>
        </w:tc>
        <w:tc>
          <w:tcPr>
            <w:tcW w:w="719" w:type="dxa"/>
            <w:tcBorders>
              <w:top w:val="nil"/>
              <w:left w:val="single" w:sz="4" w:space="0" w:color="auto"/>
              <w:bottom w:val="nil"/>
              <w:right w:val="single" w:sz="4" w:space="0" w:color="auto"/>
            </w:tcBorders>
            <w:shd w:val="clear" w:color="auto" w:fill="auto"/>
            <w:vAlign w:val="bottom"/>
            <w:hideMark/>
          </w:tcPr>
          <w:p w14:paraId="413B8223"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4.920</w:t>
            </w:r>
          </w:p>
        </w:tc>
        <w:tc>
          <w:tcPr>
            <w:tcW w:w="719" w:type="dxa"/>
            <w:tcBorders>
              <w:top w:val="nil"/>
              <w:left w:val="single" w:sz="4" w:space="0" w:color="auto"/>
              <w:bottom w:val="nil"/>
              <w:right w:val="single" w:sz="4" w:space="0" w:color="auto"/>
            </w:tcBorders>
            <w:shd w:val="clear" w:color="auto" w:fill="auto"/>
            <w:vAlign w:val="bottom"/>
            <w:hideMark/>
          </w:tcPr>
          <w:p w14:paraId="22FC3D47"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5.825</w:t>
            </w:r>
          </w:p>
        </w:tc>
        <w:tc>
          <w:tcPr>
            <w:tcW w:w="980" w:type="dxa"/>
            <w:tcBorders>
              <w:top w:val="nil"/>
              <w:left w:val="single" w:sz="4" w:space="0" w:color="auto"/>
              <w:bottom w:val="nil"/>
              <w:right w:val="single" w:sz="4" w:space="0" w:color="auto"/>
            </w:tcBorders>
            <w:shd w:val="clear" w:color="auto" w:fill="auto"/>
            <w:noWrap/>
            <w:vAlign w:val="bottom"/>
            <w:hideMark/>
          </w:tcPr>
          <w:p w14:paraId="41C787FD"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18,4%</w:t>
            </w:r>
          </w:p>
        </w:tc>
        <w:tc>
          <w:tcPr>
            <w:tcW w:w="980" w:type="dxa"/>
            <w:tcBorders>
              <w:top w:val="nil"/>
              <w:left w:val="single" w:sz="4" w:space="0" w:color="auto"/>
              <w:bottom w:val="nil"/>
              <w:right w:val="single" w:sz="4" w:space="0" w:color="auto"/>
            </w:tcBorders>
            <w:shd w:val="clear" w:color="auto" w:fill="auto"/>
            <w:noWrap/>
            <w:vAlign w:val="bottom"/>
            <w:hideMark/>
          </w:tcPr>
          <w:p w14:paraId="1EB8BB6C"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47,8%</w:t>
            </w:r>
          </w:p>
        </w:tc>
        <w:tc>
          <w:tcPr>
            <w:tcW w:w="941" w:type="dxa"/>
            <w:tcBorders>
              <w:top w:val="nil"/>
              <w:left w:val="single" w:sz="4" w:space="0" w:color="auto"/>
              <w:bottom w:val="nil"/>
              <w:right w:val="single" w:sz="4" w:space="0" w:color="auto"/>
            </w:tcBorders>
            <w:shd w:val="clear" w:color="auto" w:fill="auto"/>
            <w:noWrap/>
            <w:vAlign w:val="bottom"/>
            <w:hideMark/>
          </w:tcPr>
          <w:p w14:paraId="2FFACECA"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8,8%</w:t>
            </w:r>
          </w:p>
        </w:tc>
        <w:tc>
          <w:tcPr>
            <w:tcW w:w="852" w:type="dxa"/>
            <w:tcBorders>
              <w:top w:val="nil"/>
              <w:left w:val="single" w:sz="4" w:space="0" w:color="auto"/>
              <w:bottom w:val="nil"/>
              <w:right w:val="single" w:sz="4" w:space="0" w:color="auto"/>
            </w:tcBorders>
            <w:shd w:val="clear" w:color="auto" w:fill="auto"/>
            <w:noWrap/>
            <w:vAlign w:val="bottom"/>
            <w:hideMark/>
          </w:tcPr>
          <w:p w14:paraId="43DBE9D5"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-1,8%</w:t>
            </w:r>
          </w:p>
        </w:tc>
      </w:tr>
      <w:tr w:rsidR="00E56781" w:rsidRPr="00526BD6" w14:paraId="0DFE0128" w14:textId="77777777" w:rsidTr="00E56781">
        <w:trPr>
          <w:trHeight w:val="255"/>
          <w:jc w:val="center"/>
        </w:trPr>
        <w:tc>
          <w:tcPr>
            <w:tcW w:w="1394" w:type="dxa"/>
            <w:tcBorders>
              <w:top w:val="nil"/>
              <w:left w:val="single" w:sz="4" w:space="0" w:color="auto"/>
              <w:bottom w:val="nil"/>
              <w:right w:val="single" w:sz="4" w:space="0" w:color="auto"/>
            </w:tcBorders>
            <w:shd w:val="clear" w:color="auto" w:fill="auto"/>
            <w:vAlign w:val="bottom"/>
            <w:hideMark/>
          </w:tcPr>
          <w:p w14:paraId="1A4B4C40"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3</w:t>
            </w:r>
          </w:p>
        </w:tc>
        <w:tc>
          <w:tcPr>
            <w:tcW w:w="719" w:type="dxa"/>
            <w:tcBorders>
              <w:top w:val="nil"/>
              <w:left w:val="single" w:sz="4" w:space="0" w:color="auto"/>
              <w:bottom w:val="nil"/>
              <w:right w:val="single" w:sz="4" w:space="0" w:color="auto"/>
            </w:tcBorders>
            <w:shd w:val="clear" w:color="auto" w:fill="auto"/>
            <w:vAlign w:val="bottom"/>
            <w:hideMark/>
          </w:tcPr>
          <w:p w14:paraId="55B8EEE4"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5.387</w:t>
            </w:r>
          </w:p>
        </w:tc>
        <w:tc>
          <w:tcPr>
            <w:tcW w:w="719" w:type="dxa"/>
            <w:tcBorders>
              <w:top w:val="nil"/>
              <w:left w:val="single" w:sz="4" w:space="0" w:color="auto"/>
              <w:bottom w:val="nil"/>
              <w:right w:val="single" w:sz="4" w:space="0" w:color="auto"/>
            </w:tcBorders>
            <w:shd w:val="clear" w:color="auto" w:fill="auto"/>
            <w:vAlign w:val="bottom"/>
            <w:hideMark/>
          </w:tcPr>
          <w:p w14:paraId="32B19126"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6.804</w:t>
            </w:r>
          </w:p>
        </w:tc>
        <w:tc>
          <w:tcPr>
            <w:tcW w:w="719" w:type="dxa"/>
            <w:tcBorders>
              <w:top w:val="nil"/>
              <w:left w:val="single" w:sz="4" w:space="0" w:color="auto"/>
              <w:bottom w:val="nil"/>
              <w:right w:val="single" w:sz="4" w:space="0" w:color="auto"/>
            </w:tcBorders>
            <w:shd w:val="clear" w:color="auto" w:fill="auto"/>
            <w:vAlign w:val="bottom"/>
            <w:hideMark/>
          </w:tcPr>
          <w:p w14:paraId="611A1CFE"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8.191</w:t>
            </w:r>
          </w:p>
        </w:tc>
        <w:tc>
          <w:tcPr>
            <w:tcW w:w="980" w:type="dxa"/>
            <w:tcBorders>
              <w:top w:val="nil"/>
              <w:left w:val="single" w:sz="4" w:space="0" w:color="auto"/>
              <w:bottom w:val="nil"/>
              <w:right w:val="single" w:sz="4" w:space="0" w:color="auto"/>
            </w:tcBorders>
            <w:shd w:val="clear" w:color="auto" w:fill="auto"/>
            <w:noWrap/>
            <w:vAlign w:val="bottom"/>
            <w:hideMark/>
          </w:tcPr>
          <w:p w14:paraId="41D73356"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20,4%</w:t>
            </w:r>
          </w:p>
        </w:tc>
        <w:tc>
          <w:tcPr>
            <w:tcW w:w="980" w:type="dxa"/>
            <w:tcBorders>
              <w:top w:val="nil"/>
              <w:left w:val="single" w:sz="4" w:space="0" w:color="auto"/>
              <w:bottom w:val="nil"/>
              <w:right w:val="single" w:sz="4" w:space="0" w:color="auto"/>
            </w:tcBorders>
            <w:shd w:val="clear" w:color="auto" w:fill="auto"/>
            <w:noWrap/>
            <w:vAlign w:val="bottom"/>
            <w:hideMark/>
          </w:tcPr>
          <w:p w14:paraId="77D935C4"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52,1%</w:t>
            </w:r>
          </w:p>
        </w:tc>
        <w:tc>
          <w:tcPr>
            <w:tcW w:w="941" w:type="dxa"/>
            <w:tcBorders>
              <w:top w:val="nil"/>
              <w:left w:val="single" w:sz="4" w:space="0" w:color="auto"/>
              <w:bottom w:val="nil"/>
              <w:right w:val="single" w:sz="4" w:space="0" w:color="auto"/>
            </w:tcBorders>
            <w:shd w:val="clear" w:color="auto" w:fill="auto"/>
            <w:noWrap/>
            <w:vAlign w:val="bottom"/>
            <w:hideMark/>
          </w:tcPr>
          <w:p w14:paraId="62F0A400"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10,6%</w:t>
            </w:r>
          </w:p>
        </w:tc>
        <w:tc>
          <w:tcPr>
            <w:tcW w:w="852" w:type="dxa"/>
            <w:tcBorders>
              <w:top w:val="nil"/>
              <w:left w:val="single" w:sz="4" w:space="0" w:color="auto"/>
              <w:bottom w:val="nil"/>
              <w:right w:val="single" w:sz="4" w:space="0" w:color="auto"/>
            </w:tcBorders>
            <w:shd w:val="clear" w:color="auto" w:fill="auto"/>
            <w:noWrap/>
            <w:vAlign w:val="bottom"/>
            <w:hideMark/>
          </w:tcPr>
          <w:p w14:paraId="44D08152"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1,1%</w:t>
            </w:r>
          </w:p>
        </w:tc>
      </w:tr>
      <w:tr w:rsidR="00E56781" w:rsidRPr="00526BD6" w14:paraId="6F981585" w14:textId="77777777" w:rsidTr="00E56781">
        <w:trPr>
          <w:trHeight w:val="255"/>
          <w:jc w:val="center"/>
        </w:trPr>
        <w:tc>
          <w:tcPr>
            <w:tcW w:w="1394" w:type="dxa"/>
            <w:tcBorders>
              <w:top w:val="nil"/>
              <w:left w:val="single" w:sz="4" w:space="0" w:color="auto"/>
              <w:bottom w:val="nil"/>
              <w:right w:val="single" w:sz="4" w:space="0" w:color="auto"/>
            </w:tcBorders>
            <w:shd w:val="clear" w:color="auto" w:fill="auto"/>
            <w:vAlign w:val="bottom"/>
            <w:hideMark/>
          </w:tcPr>
          <w:p w14:paraId="647F1141"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4</w:t>
            </w:r>
          </w:p>
        </w:tc>
        <w:tc>
          <w:tcPr>
            <w:tcW w:w="719" w:type="dxa"/>
            <w:tcBorders>
              <w:top w:val="nil"/>
              <w:left w:val="single" w:sz="4" w:space="0" w:color="auto"/>
              <w:bottom w:val="nil"/>
              <w:right w:val="single" w:sz="4" w:space="0" w:color="auto"/>
            </w:tcBorders>
            <w:shd w:val="clear" w:color="auto" w:fill="auto"/>
            <w:vAlign w:val="bottom"/>
            <w:hideMark/>
          </w:tcPr>
          <w:p w14:paraId="79C5CD84"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6.993</w:t>
            </w:r>
          </w:p>
        </w:tc>
        <w:tc>
          <w:tcPr>
            <w:tcW w:w="719" w:type="dxa"/>
            <w:tcBorders>
              <w:top w:val="nil"/>
              <w:left w:val="single" w:sz="4" w:space="0" w:color="auto"/>
              <w:bottom w:val="nil"/>
              <w:right w:val="single" w:sz="4" w:space="0" w:color="auto"/>
            </w:tcBorders>
            <w:shd w:val="clear" w:color="auto" w:fill="auto"/>
            <w:vAlign w:val="bottom"/>
            <w:hideMark/>
          </w:tcPr>
          <w:p w14:paraId="346A382A"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8.698</w:t>
            </w:r>
          </w:p>
        </w:tc>
        <w:tc>
          <w:tcPr>
            <w:tcW w:w="719" w:type="dxa"/>
            <w:tcBorders>
              <w:top w:val="nil"/>
              <w:left w:val="single" w:sz="4" w:space="0" w:color="auto"/>
              <w:bottom w:val="nil"/>
              <w:right w:val="single" w:sz="4" w:space="0" w:color="auto"/>
            </w:tcBorders>
            <w:shd w:val="clear" w:color="auto" w:fill="auto"/>
            <w:vAlign w:val="bottom"/>
            <w:hideMark/>
          </w:tcPr>
          <w:p w14:paraId="69F97CCB"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10.371</w:t>
            </w:r>
          </w:p>
        </w:tc>
        <w:tc>
          <w:tcPr>
            <w:tcW w:w="980" w:type="dxa"/>
            <w:tcBorders>
              <w:top w:val="nil"/>
              <w:left w:val="single" w:sz="4" w:space="0" w:color="auto"/>
              <w:bottom w:val="nil"/>
              <w:right w:val="single" w:sz="4" w:space="0" w:color="auto"/>
            </w:tcBorders>
            <w:shd w:val="clear" w:color="auto" w:fill="auto"/>
            <w:noWrap/>
            <w:vAlign w:val="bottom"/>
            <w:hideMark/>
          </w:tcPr>
          <w:p w14:paraId="23357A46"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19,2%</w:t>
            </w:r>
          </w:p>
        </w:tc>
        <w:tc>
          <w:tcPr>
            <w:tcW w:w="980" w:type="dxa"/>
            <w:tcBorders>
              <w:top w:val="nil"/>
              <w:left w:val="single" w:sz="4" w:space="0" w:color="auto"/>
              <w:bottom w:val="nil"/>
              <w:right w:val="single" w:sz="4" w:space="0" w:color="auto"/>
            </w:tcBorders>
            <w:shd w:val="clear" w:color="auto" w:fill="auto"/>
            <w:noWrap/>
            <w:vAlign w:val="bottom"/>
            <w:hideMark/>
          </w:tcPr>
          <w:p w14:paraId="55A092F0"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48,3%</w:t>
            </w:r>
          </w:p>
        </w:tc>
        <w:tc>
          <w:tcPr>
            <w:tcW w:w="941" w:type="dxa"/>
            <w:tcBorders>
              <w:top w:val="nil"/>
              <w:left w:val="single" w:sz="4" w:space="0" w:color="auto"/>
              <w:bottom w:val="nil"/>
              <w:right w:val="single" w:sz="4" w:space="0" w:color="auto"/>
            </w:tcBorders>
            <w:shd w:val="clear" w:color="auto" w:fill="auto"/>
            <w:noWrap/>
            <w:vAlign w:val="bottom"/>
            <w:hideMark/>
          </w:tcPr>
          <w:p w14:paraId="0C31F448"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9,6%</w:t>
            </w:r>
          </w:p>
        </w:tc>
        <w:tc>
          <w:tcPr>
            <w:tcW w:w="852" w:type="dxa"/>
            <w:tcBorders>
              <w:top w:val="nil"/>
              <w:left w:val="single" w:sz="4" w:space="0" w:color="auto"/>
              <w:bottom w:val="nil"/>
              <w:right w:val="single" w:sz="4" w:space="0" w:color="auto"/>
            </w:tcBorders>
            <w:shd w:val="clear" w:color="auto" w:fill="auto"/>
            <w:noWrap/>
            <w:vAlign w:val="bottom"/>
            <w:hideMark/>
          </w:tcPr>
          <w:p w14:paraId="737521A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-1,4%</w:t>
            </w:r>
          </w:p>
        </w:tc>
      </w:tr>
      <w:tr w:rsidR="00E56781" w:rsidRPr="00526BD6" w14:paraId="289454E1" w14:textId="77777777" w:rsidTr="00E56781">
        <w:trPr>
          <w:trHeight w:val="255"/>
          <w:jc w:val="center"/>
        </w:trPr>
        <w:tc>
          <w:tcPr>
            <w:tcW w:w="1394" w:type="dxa"/>
            <w:tcBorders>
              <w:top w:val="nil"/>
              <w:left w:val="single" w:sz="4" w:space="0" w:color="auto"/>
              <w:bottom w:val="nil"/>
              <w:right w:val="single" w:sz="4" w:space="0" w:color="auto"/>
            </w:tcBorders>
            <w:shd w:val="clear" w:color="auto" w:fill="auto"/>
            <w:vAlign w:val="bottom"/>
            <w:hideMark/>
          </w:tcPr>
          <w:p w14:paraId="387E8F38"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5</w:t>
            </w:r>
          </w:p>
        </w:tc>
        <w:tc>
          <w:tcPr>
            <w:tcW w:w="719" w:type="dxa"/>
            <w:tcBorders>
              <w:top w:val="nil"/>
              <w:left w:val="single" w:sz="4" w:space="0" w:color="auto"/>
              <w:bottom w:val="nil"/>
              <w:right w:val="single" w:sz="4" w:space="0" w:color="auto"/>
            </w:tcBorders>
            <w:shd w:val="clear" w:color="auto" w:fill="auto"/>
            <w:vAlign w:val="bottom"/>
            <w:hideMark/>
          </w:tcPr>
          <w:p w14:paraId="6A493394"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8.692</w:t>
            </w:r>
          </w:p>
        </w:tc>
        <w:tc>
          <w:tcPr>
            <w:tcW w:w="719" w:type="dxa"/>
            <w:tcBorders>
              <w:top w:val="nil"/>
              <w:left w:val="single" w:sz="4" w:space="0" w:color="auto"/>
              <w:bottom w:val="nil"/>
              <w:right w:val="single" w:sz="4" w:space="0" w:color="auto"/>
            </w:tcBorders>
            <w:shd w:val="clear" w:color="auto" w:fill="auto"/>
            <w:vAlign w:val="bottom"/>
            <w:hideMark/>
          </w:tcPr>
          <w:p w14:paraId="154CA59C"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10.853</w:t>
            </w:r>
          </w:p>
        </w:tc>
        <w:tc>
          <w:tcPr>
            <w:tcW w:w="719" w:type="dxa"/>
            <w:tcBorders>
              <w:top w:val="nil"/>
              <w:left w:val="single" w:sz="4" w:space="0" w:color="auto"/>
              <w:bottom w:val="nil"/>
              <w:right w:val="single" w:sz="4" w:space="0" w:color="auto"/>
            </w:tcBorders>
            <w:shd w:val="clear" w:color="auto" w:fill="auto"/>
            <w:vAlign w:val="bottom"/>
            <w:hideMark/>
          </w:tcPr>
          <w:p w14:paraId="387A1A47"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12.985</w:t>
            </w:r>
          </w:p>
        </w:tc>
        <w:tc>
          <w:tcPr>
            <w:tcW w:w="980" w:type="dxa"/>
            <w:tcBorders>
              <w:top w:val="nil"/>
              <w:left w:val="single" w:sz="4" w:space="0" w:color="auto"/>
              <w:bottom w:val="nil"/>
              <w:right w:val="single" w:sz="4" w:space="0" w:color="auto"/>
            </w:tcBorders>
            <w:shd w:val="clear" w:color="auto" w:fill="auto"/>
            <w:noWrap/>
            <w:vAlign w:val="bottom"/>
            <w:hideMark/>
          </w:tcPr>
          <w:p w14:paraId="3F4EF002"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19,6%</w:t>
            </w:r>
          </w:p>
        </w:tc>
        <w:tc>
          <w:tcPr>
            <w:tcW w:w="980" w:type="dxa"/>
            <w:tcBorders>
              <w:top w:val="nil"/>
              <w:left w:val="single" w:sz="4" w:space="0" w:color="auto"/>
              <w:bottom w:val="nil"/>
              <w:right w:val="single" w:sz="4" w:space="0" w:color="auto"/>
            </w:tcBorders>
            <w:shd w:val="clear" w:color="auto" w:fill="auto"/>
            <w:noWrap/>
            <w:vAlign w:val="bottom"/>
            <w:hideMark/>
          </w:tcPr>
          <w:p w14:paraId="525A4AE0"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49,4%</w:t>
            </w:r>
          </w:p>
        </w:tc>
        <w:tc>
          <w:tcPr>
            <w:tcW w:w="941" w:type="dxa"/>
            <w:tcBorders>
              <w:top w:val="nil"/>
              <w:left w:val="single" w:sz="4" w:space="0" w:color="auto"/>
              <w:bottom w:val="nil"/>
              <w:right w:val="single" w:sz="4" w:space="0" w:color="auto"/>
            </w:tcBorders>
            <w:shd w:val="clear" w:color="auto" w:fill="auto"/>
            <w:noWrap/>
            <w:vAlign w:val="bottom"/>
            <w:hideMark/>
          </w:tcPr>
          <w:p w14:paraId="6CF75E85"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9,9%</w:t>
            </w:r>
          </w:p>
        </w:tc>
        <w:tc>
          <w:tcPr>
            <w:tcW w:w="852" w:type="dxa"/>
            <w:tcBorders>
              <w:top w:val="nil"/>
              <w:left w:val="single" w:sz="4" w:space="0" w:color="auto"/>
              <w:bottom w:val="nil"/>
              <w:right w:val="single" w:sz="4" w:space="0" w:color="auto"/>
            </w:tcBorders>
            <w:shd w:val="clear" w:color="auto" w:fill="auto"/>
            <w:noWrap/>
            <w:vAlign w:val="bottom"/>
            <w:hideMark/>
          </w:tcPr>
          <w:p w14:paraId="68F20AC7"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-0,7%</w:t>
            </w:r>
          </w:p>
        </w:tc>
      </w:tr>
      <w:tr w:rsidR="00E56781" w:rsidRPr="00526BD6" w14:paraId="2F288E11" w14:textId="77777777" w:rsidTr="00E56781">
        <w:trPr>
          <w:trHeight w:val="255"/>
          <w:jc w:val="center"/>
        </w:trPr>
        <w:tc>
          <w:tcPr>
            <w:tcW w:w="1394" w:type="dxa"/>
            <w:tcBorders>
              <w:top w:val="nil"/>
              <w:left w:val="single" w:sz="4" w:space="0" w:color="auto"/>
              <w:bottom w:val="nil"/>
              <w:right w:val="single" w:sz="4" w:space="0" w:color="auto"/>
            </w:tcBorders>
            <w:shd w:val="clear" w:color="auto" w:fill="auto"/>
            <w:vAlign w:val="bottom"/>
            <w:hideMark/>
          </w:tcPr>
          <w:p w14:paraId="5D88F462"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6</w:t>
            </w:r>
          </w:p>
        </w:tc>
        <w:tc>
          <w:tcPr>
            <w:tcW w:w="719" w:type="dxa"/>
            <w:tcBorders>
              <w:top w:val="nil"/>
              <w:left w:val="single" w:sz="4" w:space="0" w:color="auto"/>
              <w:bottom w:val="nil"/>
              <w:right w:val="single" w:sz="4" w:space="0" w:color="auto"/>
            </w:tcBorders>
            <w:shd w:val="clear" w:color="auto" w:fill="auto"/>
            <w:vAlign w:val="bottom"/>
            <w:hideMark/>
          </w:tcPr>
          <w:p w14:paraId="6A1439BA"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10.600</w:t>
            </w:r>
          </w:p>
        </w:tc>
        <w:tc>
          <w:tcPr>
            <w:tcW w:w="719" w:type="dxa"/>
            <w:tcBorders>
              <w:top w:val="nil"/>
              <w:left w:val="single" w:sz="4" w:space="0" w:color="auto"/>
              <w:bottom w:val="nil"/>
              <w:right w:val="single" w:sz="4" w:space="0" w:color="auto"/>
            </w:tcBorders>
            <w:shd w:val="clear" w:color="auto" w:fill="auto"/>
            <w:vAlign w:val="bottom"/>
            <w:hideMark/>
          </w:tcPr>
          <w:p w14:paraId="24F78484"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13.333</w:t>
            </w:r>
          </w:p>
        </w:tc>
        <w:tc>
          <w:tcPr>
            <w:tcW w:w="719" w:type="dxa"/>
            <w:tcBorders>
              <w:top w:val="nil"/>
              <w:left w:val="single" w:sz="4" w:space="0" w:color="auto"/>
              <w:bottom w:val="nil"/>
              <w:right w:val="single" w:sz="4" w:space="0" w:color="auto"/>
            </w:tcBorders>
            <w:shd w:val="clear" w:color="auto" w:fill="auto"/>
            <w:vAlign w:val="bottom"/>
            <w:hideMark/>
          </w:tcPr>
          <w:p w14:paraId="46A37DAA"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16.029</w:t>
            </w:r>
          </w:p>
        </w:tc>
        <w:tc>
          <w:tcPr>
            <w:tcW w:w="980" w:type="dxa"/>
            <w:tcBorders>
              <w:top w:val="nil"/>
              <w:left w:val="single" w:sz="4" w:space="0" w:color="auto"/>
              <w:bottom w:val="nil"/>
              <w:right w:val="single" w:sz="4" w:space="0" w:color="auto"/>
            </w:tcBorders>
            <w:shd w:val="clear" w:color="auto" w:fill="auto"/>
            <w:noWrap/>
            <w:vAlign w:val="bottom"/>
            <w:hideMark/>
          </w:tcPr>
          <w:p w14:paraId="0918C81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20,2%</w:t>
            </w:r>
          </w:p>
        </w:tc>
        <w:tc>
          <w:tcPr>
            <w:tcW w:w="980" w:type="dxa"/>
            <w:tcBorders>
              <w:top w:val="nil"/>
              <w:left w:val="single" w:sz="4" w:space="0" w:color="auto"/>
              <w:bottom w:val="nil"/>
              <w:right w:val="single" w:sz="4" w:space="0" w:color="auto"/>
            </w:tcBorders>
            <w:shd w:val="clear" w:color="auto" w:fill="auto"/>
            <w:noWrap/>
            <w:vAlign w:val="bottom"/>
            <w:hideMark/>
          </w:tcPr>
          <w:p w14:paraId="16BFD778"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51,2%</w:t>
            </w:r>
          </w:p>
        </w:tc>
        <w:tc>
          <w:tcPr>
            <w:tcW w:w="941" w:type="dxa"/>
            <w:tcBorders>
              <w:top w:val="nil"/>
              <w:left w:val="single" w:sz="4" w:space="0" w:color="auto"/>
              <w:bottom w:val="nil"/>
              <w:right w:val="single" w:sz="4" w:space="0" w:color="auto"/>
            </w:tcBorders>
            <w:shd w:val="clear" w:color="auto" w:fill="auto"/>
            <w:noWrap/>
            <w:vAlign w:val="bottom"/>
            <w:hideMark/>
          </w:tcPr>
          <w:p w14:paraId="58B9DF46"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10,5%</w:t>
            </w:r>
          </w:p>
        </w:tc>
        <w:tc>
          <w:tcPr>
            <w:tcW w:w="852" w:type="dxa"/>
            <w:tcBorders>
              <w:top w:val="nil"/>
              <w:left w:val="single" w:sz="4" w:space="0" w:color="auto"/>
              <w:bottom w:val="nil"/>
              <w:right w:val="single" w:sz="4" w:space="0" w:color="auto"/>
            </w:tcBorders>
            <w:shd w:val="clear" w:color="auto" w:fill="auto"/>
            <w:noWrap/>
            <w:vAlign w:val="bottom"/>
            <w:hideMark/>
          </w:tcPr>
          <w:p w14:paraId="6DB7619C"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0,5%</w:t>
            </w:r>
          </w:p>
        </w:tc>
      </w:tr>
      <w:tr w:rsidR="00E56781" w:rsidRPr="00526BD6" w14:paraId="5526E2BD" w14:textId="77777777" w:rsidTr="00E56781">
        <w:trPr>
          <w:trHeight w:val="255"/>
          <w:jc w:val="center"/>
        </w:trPr>
        <w:tc>
          <w:tcPr>
            <w:tcW w:w="1394" w:type="dxa"/>
            <w:tcBorders>
              <w:top w:val="nil"/>
              <w:left w:val="single" w:sz="4" w:space="0" w:color="auto"/>
              <w:bottom w:val="nil"/>
              <w:right w:val="single" w:sz="4" w:space="0" w:color="auto"/>
            </w:tcBorders>
            <w:shd w:val="clear" w:color="auto" w:fill="auto"/>
            <w:vAlign w:val="bottom"/>
            <w:hideMark/>
          </w:tcPr>
          <w:p w14:paraId="41DEE756"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7</w:t>
            </w:r>
          </w:p>
        </w:tc>
        <w:tc>
          <w:tcPr>
            <w:tcW w:w="719" w:type="dxa"/>
            <w:tcBorders>
              <w:top w:val="nil"/>
              <w:left w:val="single" w:sz="4" w:space="0" w:color="auto"/>
              <w:bottom w:val="nil"/>
              <w:right w:val="single" w:sz="4" w:space="0" w:color="auto"/>
            </w:tcBorders>
            <w:shd w:val="clear" w:color="auto" w:fill="auto"/>
            <w:vAlign w:val="bottom"/>
            <w:hideMark/>
          </w:tcPr>
          <w:p w14:paraId="1F5D9AD2"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13.199</w:t>
            </w:r>
          </w:p>
        </w:tc>
        <w:tc>
          <w:tcPr>
            <w:tcW w:w="719" w:type="dxa"/>
            <w:tcBorders>
              <w:top w:val="nil"/>
              <w:left w:val="single" w:sz="4" w:space="0" w:color="auto"/>
              <w:bottom w:val="nil"/>
              <w:right w:val="single" w:sz="4" w:space="0" w:color="auto"/>
            </w:tcBorders>
            <w:shd w:val="clear" w:color="auto" w:fill="auto"/>
            <w:vAlign w:val="bottom"/>
            <w:hideMark/>
          </w:tcPr>
          <w:p w14:paraId="6509363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16.461</w:t>
            </w:r>
          </w:p>
        </w:tc>
        <w:tc>
          <w:tcPr>
            <w:tcW w:w="719" w:type="dxa"/>
            <w:tcBorders>
              <w:top w:val="nil"/>
              <w:left w:val="single" w:sz="4" w:space="0" w:color="auto"/>
              <w:bottom w:val="nil"/>
              <w:right w:val="single" w:sz="4" w:space="0" w:color="auto"/>
            </w:tcBorders>
            <w:shd w:val="clear" w:color="auto" w:fill="auto"/>
            <w:vAlign w:val="bottom"/>
            <w:hideMark/>
          </w:tcPr>
          <w:p w14:paraId="2D70CFB7"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19.801</w:t>
            </w:r>
          </w:p>
        </w:tc>
        <w:tc>
          <w:tcPr>
            <w:tcW w:w="980" w:type="dxa"/>
            <w:tcBorders>
              <w:top w:val="nil"/>
              <w:left w:val="single" w:sz="4" w:space="0" w:color="auto"/>
              <w:bottom w:val="nil"/>
              <w:right w:val="single" w:sz="4" w:space="0" w:color="auto"/>
            </w:tcBorders>
            <w:shd w:val="clear" w:color="auto" w:fill="auto"/>
            <w:noWrap/>
            <w:vAlign w:val="bottom"/>
            <w:hideMark/>
          </w:tcPr>
          <w:p w14:paraId="5BDD781F"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20,3%</w:t>
            </w:r>
          </w:p>
        </w:tc>
        <w:tc>
          <w:tcPr>
            <w:tcW w:w="980" w:type="dxa"/>
            <w:tcBorders>
              <w:top w:val="nil"/>
              <w:left w:val="single" w:sz="4" w:space="0" w:color="auto"/>
              <w:bottom w:val="nil"/>
              <w:right w:val="single" w:sz="4" w:space="0" w:color="auto"/>
            </w:tcBorders>
            <w:shd w:val="clear" w:color="auto" w:fill="auto"/>
            <w:noWrap/>
            <w:vAlign w:val="bottom"/>
            <w:hideMark/>
          </w:tcPr>
          <w:p w14:paraId="5A561287"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50,0%</w:t>
            </w:r>
          </w:p>
        </w:tc>
        <w:tc>
          <w:tcPr>
            <w:tcW w:w="941" w:type="dxa"/>
            <w:tcBorders>
              <w:top w:val="nil"/>
              <w:left w:val="single" w:sz="4" w:space="0" w:color="auto"/>
              <w:bottom w:val="nil"/>
              <w:right w:val="single" w:sz="4" w:space="0" w:color="auto"/>
            </w:tcBorders>
            <w:shd w:val="clear" w:color="auto" w:fill="auto"/>
            <w:noWrap/>
            <w:vAlign w:val="bottom"/>
            <w:hideMark/>
          </w:tcPr>
          <w:p w14:paraId="3311BA02"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10,5%</w:t>
            </w:r>
          </w:p>
        </w:tc>
        <w:tc>
          <w:tcPr>
            <w:tcW w:w="852" w:type="dxa"/>
            <w:tcBorders>
              <w:top w:val="nil"/>
              <w:left w:val="single" w:sz="4" w:space="0" w:color="auto"/>
              <w:bottom w:val="nil"/>
              <w:right w:val="single" w:sz="4" w:space="0" w:color="auto"/>
            </w:tcBorders>
            <w:shd w:val="clear" w:color="auto" w:fill="auto"/>
            <w:noWrap/>
            <w:vAlign w:val="bottom"/>
            <w:hideMark/>
          </w:tcPr>
          <w:p w14:paraId="4A19A6F5"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-0,3%</w:t>
            </w:r>
          </w:p>
        </w:tc>
      </w:tr>
      <w:tr w:rsidR="00E56781" w:rsidRPr="00526BD6" w14:paraId="6C56ECDD" w14:textId="77777777" w:rsidTr="00E56781">
        <w:trPr>
          <w:trHeight w:val="255"/>
          <w:jc w:val="center"/>
        </w:trPr>
        <w:tc>
          <w:tcPr>
            <w:tcW w:w="1394" w:type="dxa"/>
            <w:tcBorders>
              <w:top w:val="nil"/>
              <w:left w:val="single" w:sz="4" w:space="0" w:color="auto"/>
              <w:bottom w:val="nil"/>
              <w:right w:val="single" w:sz="4" w:space="0" w:color="auto"/>
            </w:tcBorders>
            <w:shd w:val="clear" w:color="auto" w:fill="auto"/>
            <w:vAlign w:val="bottom"/>
            <w:hideMark/>
          </w:tcPr>
          <w:p w14:paraId="4FD54F6A"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8</w:t>
            </w:r>
          </w:p>
        </w:tc>
        <w:tc>
          <w:tcPr>
            <w:tcW w:w="719" w:type="dxa"/>
            <w:tcBorders>
              <w:top w:val="nil"/>
              <w:left w:val="single" w:sz="4" w:space="0" w:color="auto"/>
              <w:bottom w:val="nil"/>
              <w:right w:val="single" w:sz="4" w:space="0" w:color="auto"/>
            </w:tcBorders>
            <w:shd w:val="clear" w:color="auto" w:fill="auto"/>
            <w:vAlign w:val="bottom"/>
            <w:hideMark/>
          </w:tcPr>
          <w:p w14:paraId="45547EC8"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16.567</w:t>
            </w:r>
          </w:p>
        </w:tc>
        <w:tc>
          <w:tcPr>
            <w:tcW w:w="719" w:type="dxa"/>
            <w:tcBorders>
              <w:top w:val="nil"/>
              <w:left w:val="single" w:sz="4" w:space="0" w:color="auto"/>
              <w:bottom w:val="nil"/>
              <w:right w:val="single" w:sz="4" w:space="0" w:color="auto"/>
            </w:tcBorders>
            <w:shd w:val="clear" w:color="auto" w:fill="auto"/>
            <w:vAlign w:val="bottom"/>
            <w:hideMark/>
          </w:tcPr>
          <w:p w14:paraId="5590A05D"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20.829</w:t>
            </w:r>
          </w:p>
        </w:tc>
        <w:tc>
          <w:tcPr>
            <w:tcW w:w="719" w:type="dxa"/>
            <w:tcBorders>
              <w:top w:val="nil"/>
              <w:left w:val="single" w:sz="4" w:space="0" w:color="auto"/>
              <w:bottom w:val="nil"/>
              <w:right w:val="single" w:sz="4" w:space="0" w:color="auto"/>
            </w:tcBorders>
            <w:shd w:val="clear" w:color="auto" w:fill="auto"/>
            <w:vAlign w:val="bottom"/>
            <w:hideMark/>
          </w:tcPr>
          <w:p w14:paraId="2864E43B"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25.040</w:t>
            </w:r>
          </w:p>
        </w:tc>
        <w:tc>
          <w:tcPr>
            <w:tcW w:w="980" w:type="dxa"/>
            <w:tcBorders>
              <w:top w:val="nil"/>
              <w:left w:val="single" w:sz="4" w:space="0" w:color="auto"/>
              <w:bottom w:val="nil"/>
              <w:right w:val="single" w:sz="4" w:space="0" w:color="auto"/>
            </w:tcBorders>
            <w:shd w:val="clear" w:color="auto" w:fill="auto"/>
            <w:noWrap/>
            <w:vAlign w:val="bottom"/>
            <w:hideMark/>
          </w:tcPr>
          <w:p w14:paraId="41947A1C"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20,2%</w:t>
            </w:r>
          </w:p>
        </w:tc>
        <w:tc>
          <w:tcPr>
            <w:tcW w:w="980" w:type="dxa"/>
            <w:tcBorders>
              <w:top w:val="nil"/>
              <w:left w:val="single" w:sz="4" w:space="0" w:color="auto"/>
              <w:bottom w:val="nil"/>
              <w:right w:val="single" w:sz="4" w:space="0" w:color="auto"/>
            </w:tcBorders>
            <w:shd w:val="clear" w:color="auto" w:fill="auto"/>
            <w:noWrap/>
            <w:vAlign w:val="bottom"/>
            <w:hideMark/>
          </w:tcPr>
          <w:p w14:paraId="781D535E"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51,1%</w:t>
            </w:r>
          </w:p>
        </w:tc>
        <w:tc>
          <w:tcPr>
            <w:tcW w:w="941" w:type="dxa"/>
            <w:tcBorders>
              <w:top w:val="nil"/>
              <w:left w:val="single" w:sz="4" w:space="0" w:color="auto"/>
              <w:bottom w:val="nil"/>
              <w:right w:val="single" w:sz="4" w:space="0" w:color="auto"/>
            </w:tcBorders>
            <w:shd w:val="clear" w:color="auto" w:fill="auto"/>
            <w:noWrap/>
            <w:vAlign w:val="bottom"/>
            <w:hideMark/>
          </w:tcPr>
          <w:p w14:paraId="18143D2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10,5%</w:t>
            </w:r>
          </w:p>
        </w:tc>
        <w:tc>
          <w:tcPr>
            <w:tcW w:w="852" w:type="dxa"/>
            <w:tcBorders>
              <w:top w:val="nil"/>
              <w:left w:val="single" w:sz="4" w:space="0" w:color="auto"/>
              <w:bottom w:val="nil"/>
              <w:right w:val="single" w:sz="4" w:space="0" w:color="auto"/>
            </w:tcBorders>
            <w:shd w:val="clear" w:color="auto" w:fill="auto"/>
            <w:noWrap/>
            <w:vAlign w:val="bottom"/>
            <w:hideMark/>
          </w:tcPr>
          <w:p w14:paraId="5B79D7C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0,5%</w:t>
            </w:r>
          </w:p>
        </w:tc>
      </w:tr>
      <w:tr w:rsidR="00E56781" w:rsidRPr="00526BD6" w14:paraId="702AB854" w14:textId="77777777" w:rsidTr="00E56781">
        <w:trPr>
          <w:trHeight w:val="255"/>
          <w:jc w:val="center"/>
        </w:trPr>
        <w:tc>
          <w:tcPr>
            <w:tcW w:w="1394" w:type="dxa"/>
            <w:tcBorders>
              <w:top w:val="nil"/>
              <w:left w:val="single" w:sz="4" w:space="0" w:color="auto"/>
              <w:right w:val="single" w:sz="4" w:space="0" w:color="auto"/>
            </w:tcBorders>
            <w:shd w:val="clear" w:color="auto" w:fill="auto"/>
            <w:vAlign w:val="bottom"/>
            <w:hideMark/>
          </w:tcPr>
          <w:p w14:paraId="5DC9CDC0"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9</w:t>
            </w:r>
          </w:p>
        </w:tc>
        <w:tc>
          <w:tcPr>
            <w:tcW w:w="719" w:type="dxa"/>
            <w:tcBorders>
              <w:top w:val="nil"/>
              <w:left w:val="single" w:sz="4" w:space="0" w:color="auto"/>
              <w:right w:val="single" w:sz="4" w:space="0" w:color="auto"/>
            </w:tcBorders>
            <w:shd w:val="clear" w:color="auto" w:fill="auto"/>
            <w:vAlign w:val="bottom"/>
            <w:hideMark/>
          </w:tcPr>
          <w:p w14:paraId="21E71525"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22.917</w:t>
            </w:r>
          </w:p>
        </w:tc>
        <w:tc>
          <w:tcPr>
            <w:tcW w:w="719" w:type="dxa"/>
            <w:tcBorders>
              <w:top w:val="nil"/>
              <w:left w:val="single" w:sz="4" w:space="0" w:color="auto"/>
              <w:right w:val="single" w:sz="4" w:space="0" w:color="auto"/>
            </w:tcBorders>
            <w:shd w:val="clear" w:color="auto" w:fill="auto"/>
            <w:vAlign w:val="bottom"/>
            <w:hideMark/>
          </w:tcPr>
          <w:p w14:paraId="3922F07A"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27.677</w:t>
            </w:r>
          </w:p>
        </w:tc>
        <w:tc>
          <w:tcPr>
            <w:tcW w:w="719" w:type="dxa"/>
            <w:tcBorders>
              <w:top w:val="nil"/>
              <w:left w:val="single" w:sz="4" w:space="0" w:color="auto"/>
              <w:right w:val="single" w:sz="4" w:space="0" w:color="auto"/>
            </w:tcBorders>
            <w:shd w:val="clear" w:color="auto" w:fill="auto"/>
            <w:vAlign w:val="bottom"/>
            <w:hideMark/>
          </w:tcPr>
          <w:p w14:paraId="0C704F77"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33.519</w:t>
            </w:r>
          </w:p>
        </w:tc>
        <w:tc>
          <w:tcPr>
            <w:tcW w:w="980" w:type="dxa"/>
            <w:tcBorders>
              <w:top w:val="nil"/>
              <w:left w:val="single" w:sz="4" w:space="0" w:color="auto"/>
              <w:right w:val="single" w:sz="4" w:space="0" w:color="auto"/>
            </w:tcBorders>
            <w:shd w:val="clear" w:color="auto" w:fill="auto"/>
            <w:noWrap/>
            <w:vAlign w:val="bottom"/>
            <w:hideMark/>
          </w:tcPr>
          <w:p w14:paraId="4BA54539"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21,1%</w:t>
            </w:r>
          </w:p>
        </w:tc>
        <w:tc>
          <w:tcPr>
            <w:tcW w:w="980" w:type="dxa"/>
            <w:tcBorders>
              <w:top w:val="nil"/>
              <w:left w:val="single" w:sz="4" w:space="0" w:color="auto"/>
              <w:right w:val="single" w:sz="4" w:space="0" w:color="auto"/>
            </w:tcBorders>
            <w:shd w:val="clear" w:color="auto" w:fill="auto"/>
            <w:noWrap/>
            <w:vAlign w:val="bottom"/>
            <w:hideMark/>
          </w:tcPr>
          <w:p w14:paraId="1E5D700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46,3%</w:t>
            </w:r>
          </w:p>
        </w:tc>
        <w:tc>
          <w:tcPr>
            <w:tcW w:w="941" w:type="dxa"/>
            <w:tcBorders>
              <w:top w:val="nil"/>
              <w:left w:val="single" w:sz="4" w:space="0" w:color="auto"/>
              <w:right w:val="single" w:sz="4" w:space="0" w:color="auto"/>
            </w:tcBorders>
            <w:shd w:val="clear" w:color="auto" w:fill="auto"/>
            <w:noWrap/>
            <w:vAlign w:val="bottom"/>
            <w:hideMark/>
          </w:tcPr>
          <w:p w14:paraId="019E971B"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11,3%</w:t>
            </w:r>
          </w:p>
        </w:tc>
        <w:tc>
          <w:tcPr>
            <w:tcW w:w="852" w:type="dxa"/>
            <w:tcBorders>
              <w:top w:val="nil"/>
              <w:left w:val="single" w:sz="4" w:space="0" w:color="auto"/>
              <w:right w:val="single" w:sz="4" w:space="0" w:color="auto"/>
            </w:tcBorders>
            <w:shd w:val="clear" w:color="auto" w:fill="auto"/>
            <w:noWrap/>
            <w:vAlign w:val="bottom"/>
            <w:hideMark/>
          </w:tcPr>
          <w:p w14:paraId="3C1797E3"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-2,8%</w:t>
            </w:r>
          </w:p>
        </w:tc>
      </w:tr>
      <w:tr w:rsidR="00E56781" w:rsidRPr="00526BD6" w14:paraId="73566E7E" w14:textId="77777777" w:rsidTr="00E56781">
        <w:trPr>
          <w:trHeight w:val="255"/>
          <w:jc w:val="center"/>
        </w:trPr>
        <w:tc>
          <w:tcPr>
            <w:tcW w:w="1394" w:type="dxa"/>
            <w:tcBorders>
              <w:top w:val="nil"/>
              <w:left w:val="single" w:sz="4" w:space="0" w:color="auto"/>
              <w:right w:val="single" w:sz="4" w:space="0" w:color="auto"/>
            </w:tcBorders>
            <w:shd w:val="clear" w:color="auto" w:fill="auto"/>
            <w:vAlign w:val="bottom"/>
            <w:hideMark/>
          </w:tcPr>
          <w:p w14:paraId="31EE6427" w14:textId="77777777" w:rsidR="00E56781" w:rsidRPr="00526BD6" w:rsidRDefault="00E56781" w:rsidP="00B1771A">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10</w:t>
            </w:r>
          </w:p>
        </w:tc>
        <w:tc>
          <w:tcPr>
            <w:tcW w:w="719" w:type="dxa"/>
            <w:tcBorders>
              <w:top w:val="nil"/>
              <w:left w:val="single" w:sz="4" w:space="0" w:color="auto"/>
              <w:right w:val="single" w:sz="4" w:space="0" w:color="auto"/>
            </w:tcBorders>
            <w:shd w:val="clear" w:color="auto" w:fill="auto"/>
            <w:vAlign w:val="bottom"/>
            <w:hideMark/>
          </w:tcPr>
          <w:p w14:paraId="21850CE7"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44.102</w:t>
            </w:r>
          </w:p>
        </w:tc>
        <w:tc>
          <w:tcPr>
            <w:tcW w:w="719" w:type="dxa"/>
            <w:tcBorders>
              <w:top w:val="nil"/>
              <w:left w:val="single" w:sz="4" w:space="0" w:color="auto"/>
              <w:right w:val="single" w:sz="4" w:space="0" w:color="auto"/>
            </w:tcBorders>
            <w:shd w:val="clear" w:color="auto" w:fill="auto"/>
            <w:vAlign w:val="bottom"/>
            <w:hideMark/>
          </w:tcPr>
          <w:p w14:paraId="084CC081"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52.774</w:t>
            </w:r>
          </w:p>
        </w:tc>
        <w:tc>
          <w:tcPr>
            <w:tcW w:w="719" w:type="dxa"/>
            <w:tcBorders>
              <w:top w:val="nil"/>
              <w:left w:val="single" w:sz="4" w:space="0" w:color="auto"/>
              <w:right w:val="single" w:sz="4" w:space="0" w:color="auto"/>
            </w:tcBorders>
            <w:shd w:val="clear" w:color="auto" w:fill="auto"/>
            <w:vAlign w:val="bottom"/>
            <w:hideMark/>
          </w:tcPr>
          <w:p w14:paraId="0381CC64"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64.564</w:t>
            </w:r>
          </w:p>
        </w:tc>
        <w:tc>
          <w:tcPr>
            <w:tcW w:w="980" w:type="dxa"/>
            <w:tcBorders>
              <w:top w:val="nil"/>
              <w:left w:val="single" w:sz="4" w:space="0" w:color="auto"/>
              <w:right w:val="single" w:sz="4" w:space="0" w:color="auto"/>
            </w:tcBorders>
            <w:shd w:val="clear" w:color="auto" w:fill="auto"/>
            <w:noWrap/>
            <w:vAlign w:val="bottom"/>
            <w:hideMark/>
          </w:tcPr>
          <w:p w14:paraId="258ABC4C"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22,3%</w:t>
            </w:r>
          </w:p>
        </w:tc>
        <w:tc>
          <w:tcPr>
            <w:tcW w:w="980" w:type="dxa"/>
            <w:tcBorders>
              <w:top w:val="nil"/>
              <w:left w:val="single" w:sz="4" w:space="0" w:color="auto"/>
              <w:right w:val="single" w:sz="4" w:space="0" w:color="auto"/>
            </w:tcBorders>
            <w:shd w:val="clear" w:color="auto" w:fill="auto"/>
            <w:noWrap/>
            <w:vAlign w:val="bottom"/>
            <w:hideMark/>
          </w:tcPr>
          <w:p w14:paraId="56666A47"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46,4%</w:t>
            </w:r>
          </w:p>
        </w:tc>
        <w:tc>
          <w:tcPr>
            <w:tcW w:w="941" w:type="dxa"/>
            <w:tcBorders>
              <w:top w:val="nil"/>
              <w:left w:val="single" w:sz="4" w:space="0" w:color="auto"/>
              <w:right w:val="single" w:sz="4" w:space="0" w:color="auto"/>
            </w:tcBorders>
            <w:shd w:val="clear" w:color="auto" w:fill="auto"/>
            <w:noWrap/>
            <w:vAlign w:val="bottom"/>
            <w:hideMark/>
          </w:tcPr>
          <w:p w14:paraId="32080840"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12,4%</w:t>
            </w:r>
          </w:p>
        </w:tc>
        <w:tc>
          <w:tcPr>
            <w:tcW w:w="852" w:type="dxa"/>
            <w:tcBorders>
              <w:top w:val="nil"/>
              <w:left w:val="single" w:sz="4" w:space="0" w:color="auto"/>
              <w:right w:val="single" w:sz="4" w:space="0" w:color="auto"/>
            </w:tcBorders>
            <w:shd w:val="clear" w:color="auto" w:fill="auto"/>
            <w:noWrap/>
            <w:vAlign w:val="bottom"/>
            <w:hideMark/>
          </w:tcPr>
          <w:p w14:paraId="79314CA6" w14:textId="77777777" w:rsidR="00E56781" w:rsidRPr="00526BD6" w:rsidRDefault="00E56781" w:rsidP="00B1771A">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-2,7%</w:t>
            </w:r>
          </w:p>
        </w:tc>
      </w:tr>
      <w:tr w:rsidR="00E56781" w:rsidRPr="00526BD6" w14:paraId="267E77B2" w14:textId="77777777" w:rsidTr="00E56781">
        <w:trPr>
          <w:trHeight w:val="255"/>
          <w:jc w:val="center"/>
        </w:trPr>
        <w:tc>
          <w:tcPr>
            <w:tcW w:w="1394" w:type="dxa"/>
            <w:tcBorders>
              <w:left w:val="single" w:sz="4" w:space="0" w:color="auto"/>
              <w:bottom w:val="single" w:sz="4" w:space="0" w:color="auto"/>
              <w:right w:val="single" w:sz="4" w:space="0" w:color="auto"/>
            </w:tcBorders>
            <w:shd w:val="clear" w:color="auto" w:fill="auto"/>
            <w:vAlign w:val="bottom"/>
            <w:hideMark/>
          </w:tcPr>
          <w:p w14:paraId="55D9D115" w14:textId="77777777" w:rsidR="00E56781" w:rsidRPr="00526BD6" w:rsidRDefault="00E56781" w:rsidP="00B1771A">
            <w:pPr>
              <w:rPr>
                <w:rFonts w:ascii="Arial" w:eastAsia="Times New Roman" w:hAnsi="Arial" w:cs="Arial"/>
                <w:sz w:val="16"/>
                <w:szCs w:val="16"/>
                <w:lang w:eastAsia="es-AR"/>
              </w:rPr>
            </w:pPr>
            <w:r w:rsidRPr="00526BD6">
              <w:rPr>
                <w:rFonts w:ascii="Arial" w:eastAsia="Times New Roman" w:hAnsi="Arial" w:cs="Arial"/>
                <w:sz w:val="16"/>
                <w:szCs w:val="16"/>
                <w:lang w:eastAsia="es-AR"/>
              </w:rPr>
              <w:t>Población total</w:t>
            </w:r>
          </w:p>
        </w:tc>
        <w:tc>
          <w:tcPr>
            <w:tcW w:w="719" w:type="dxa"/>
            <w:tcBorders>
              <w:left w:val="single" w:sz="4" w:space="0" w:color="auto"/>
              <w:bottom w:val="single" w:sz="4" w:space="0" w:color="auto"/>
              <w:right w:val="single" w:sz="4" w:space="0" w:color="auto"/>
            </w:tcBorders>
            <w:shd w:val="clear" w:color="auto" w:fill="auto"/>
            <w:vAlign w:val="bottom"/>
            <w:hideMark/>
          </w:tcPr>
          <w:p w14:paraId="2036EF78" w14:textId="77777777" w:rsidR="00E56781" w:rsidRPr="00526BD6" w:rsidRDefault="00E56781" w:rsidP="00B1771A">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13.447</w:t>
            </w:r>
          </w:p>
        </w:tc>
        <w:tc>
          <w:tcPr>
            <w:tcW w:w="719" w:type="dxa"/>
            <w:tcBorders>
              <w:left w:val="single" w:sz="4" w:space="0" w:color="auto"/>
              <w:bottom w:val="single" w:sz="4" w:space="0" w:color="auto"/>
              <w:right w:val="single" w:sz="4" w:space="0" w:color="auto"/>
            </w:tcBorders>
            <w:shd w:val="clear" w:color="auto" w:fill="auto"/>
            <w:vAlign w:val="bottom"/>
            <w:hideMark/>
          </w:tcPr>
          <w:p w14:paraId="768D8417" w14:textId="77777777" w:rsidR="00E56781" w:rsidRPr="00526BD6" w:rsidRDefault="00E56781" w:rsidP="00B1771A">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16.485</w:t>
            </w:r>
          </w:p>
        </w:tc>
        <w:tc>
          <w:tcPr>
            <w:tcW w:w="719" w:type="dxa"/>
            <w:tcBorders>
              <w:left w:val="single" w:sz="4" w:space="0" w:color="auto"/>
              <w:bottom w:val="single" w:sz="4" w:space="0" w:color="auto"/>
              <w:right w:val="single" w:sz="4" w:space="0" w:color="auto"/>
            </w:tcBorders>
            <w:shd w:val="clear" w:color="auto" w:fill="auto"/>
            <w:vAlign w:val="bottom"/>
            <w:hideMark/>
          </w:tcPr>
          <w:p w14:paraId="2E115AB8" w14:textId="77777777" w:rsidR="00E56781" w:rsidRPr="00526BD6" w:rsidRDefault="00E56781" w:rsidP="00B1771A">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19.916</w:t>
            </w:r>
          </w:p>
        </w:tc>
        <w:tc>
          <w:tcPr>
            <w:tcW w:w="980" w:type="dxa"/>
            <w:tcBorders>
              <w:left w:val="single" w:sz="4" w:space="0" w:color="auto"/>
              <w:bottom w:val="single" w:sz="4" w:space="0" w:color="auto"/>
              <w:right w:val="single" w:sz="4" w:space="0" w:color="auto"/>
            </w:tcBorders>
            <w:shd w:val="clear" w:color="auto" w:fill="auto"/>
            <w:noWrap/>
            <w:vAlign w:val="bottom"/>
            <w:hideMark/>
          </w:tcPr>
          <w:p w14:paraId="6AD22221" w14:textId="77777777" w:rsidR="00E56781" w:rsidRPr="00526BD6" w:rsidRDefault="00E56781" w:rsidP="00B1771A">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20,8%</w:t>
            </w:r>
          </w:p>
        </w:tc>
        <w:tc>
          <w:tcPr>
            <w:tcW w:w="980" w:type="dxa"/>
            <w:tcBorders>
              <w:left w:val="single" w:sz="4" w:space="0" w:color="auto"/>
              <w:bottom w:val="single" w:sz="4" w:space="0" w:color="auto"/>
              <w:right w:val="single" w:sz="4" w:space="0" w:color="auto"/>
            </w:tcBorders>
            <w:shd w:val="clear" w:color="auto" w:fill="auto"/>
            <w:noWrap/>
            <w:vAlign w:val="bottom"/>
            <w:hideMark/>
          </w:tcPr>
          <w:p w14:paraId="1A742B4D" w14:textId="77777777" w:rsidR="00E56781" w:rsidRPr="00526BD6" w:rsidRDefault="00E56781" w:rsidP="00B1771A">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48,1%</w:t>
            </w:r>
          </w:p>
        </w:tc>
        <w:tc>
          <w:tcPr>
            <w:tcW w:w="941" w:type="dxa"/>
            <w:tcBorders>
              <w:left w:val="single" w:sz="4" w:space="0" w:color="auto"/>
              <w:bottom w:val="single" w:sz="4" w:space="0" w:color="auto"/>
              <w:right w:val="single" w:sz="4" w:space="0" w:color="auto"/>
            </w:tcBorders>
            <w:shd w:val="clear" w:color="auto" w:fill="auto"/>
            <w:noWrap/>
            <w:vAlign w:val="bottom"/>
            <w:hideMark/>
          </w:tcPr>
          <w:p w14:paraId="75ADDE3E" w14:textId="77777777" w:rsidR="00E56781" w:rsidRPr="00526BD6" w:rsidRDefault="00E56781" w:rsidP="00B1771A">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11,0%</w:t>
            </w:r>
          </w:p>
        </w:tc>
        <w:tc>
          <w:tcPr>
            <w:tcW w:w="852" w:type="dxa"/>
            <w:tcBorders>
              <w:left w:val="single" w:sz="4" w:space="0" w:color="auto"/>
              <w:bottom w:val="single" w:sz="4" w:space="0" w:color="auto"/>
              <w:right w:val="single" w:sz="4" w:space="0" w:color="auto"/>
            </w:tcBorders>
            <w:shd w:val="clear" w:color="auto" w:fill="auto"/>
            <w:noWrap/>
            <w:vAlign w:val="bottom"/>
            <w:hideMark/>
          </w:tcPr>
          <w:p w14:paraId="2A33F659" w14:textId="77777777" w:rsidR="00E56781" w:rsidRPr="00526BD6" w:rsidRDefault="00E56781" w:rsidP="00B1771A">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-1,5%</w:t>
            </w:r>
          </w:p>
        </w:tc>
      </w:tr>
    </w:tbl>
    <w:p w14:paraId="5CC2A674" w14:textId="77777777" w:rsidR="00E56781" w:rsidRPr="000512DA" w:rsidRDefault="000512DA" w:rsidP="000512DA">
      <w:pPr>
        <w:jc w:val="center"/>
        <w:rPr>
          <w:sz w:val="20"/>
          <w:szCs w:val="20"/>
          <w:lang w:val="es-ES"/>
        </w:rPr>
      </w:pPr>
      <w:r>
        <w:rPr>
          <w:sz w:val="20"/>
          <w:szCs w:val="20"/>
          <w:lang w:val="es-ES"/>
        </w:rPr>
        <w:t>Fuente: Elaboración propia en base a EPH e IPC Nacional (INDEC).</w:t>
      </w:r>
    </w:p>
    <w:p w14:paraId="32789239" w14:textId="77777777" w:rsidR="00E56781" w:rsidRDefault="00E56781" w:rsidP="009244E9">
      <w:pPr>
        <w:jc w:val="both"/>
        <w:rPr>
          <w:lang w:val="es-ES"/>
        </w:rPr>
      </w:pPr>
    </w:p>
    <w:p w14:paraId="568E65A1" w14:textId="77777777" w:rsidR="00E56781" w:rsidRDefault="00E56781" w:rsidP="009244E9">
      <w:pPr>
        <w:jc w:val="both"/>
        <w:rPr>
          <w:lang w:val="es-ES"/>
        </w:rPr>
      </w:pPr>
    </w:p>
    <w:p w14:paraId="2FDDB1EC" w14:textId="77777777" w:rsidR="008B661A" w:rsidRDefault="006F13CC" w:rsidP="00253305">
      <w:pPr>
        <w:jc w:val="both"/>
        <w:rPr>
          <w:lang w:val="es-ES"/>
        </w:rPr>
      </w:pPr>
      <w:r>
        <w:rPr>
          <w:lang w:val="es-ES"/>
        </w:rPr>
        <w:t xml:space="preserve">Si se </w:t>
      </w:r>
      <w:r w:rsidR="000512DA">
        <w:rPr>
          <w:lang w:val="es-ES"/>
        </w:rPr>
        <w:t>acota el análisis a</w:t>
      </w:r>
      <w:r>
        <w:rPr>
          <w:lang w:val="es-ES"/>
        </w:rPr>
        <w:t xml:space="preserve"> la </w:t>
      </w:r>
      <w:r w:rsidR="008B661A">
        <w:rPr>
          <w:lang w:val="es-ES"/>
        </w:rPr>
        <w:t>evolución</w:t>
      </w:r>
      <w:r>
        <w:rPr>
          <w:lang w:val="es-ES"/>
        </w:rPr>
        <w:t xml:space="preserve"> experimentada </w:t>
      </w:r>
      <w:r w:rsidR="008B661A">
        <w:rPr>
          <w:lang w:val="es-ES"/>
        </w:rPr>
        <w:t>por</w:t>
      </w:r>
      <w:r>
        <w:rPr>
          <w:lang w:val="es-ES"/>
        </w:rPr>
        <w:t xml:space="preserve"> los i</w:t>
      </w:r>
      <w:r w:rsidR="00023DD5" w:rsidRPr="006F13CC">
        <w:rPr>
          <w:lang w:val="es-ES"/>
        </w:rPr>
        <w:t>ngreso</w:t>
      </w:r>
      <w:r>
        <w:rPr>
          <w:lang w:val="es-ES"/>
        </w:rPr>
        <w:t>s de los ocupados</w:t>
      </w:r>
      <w:r w:rsidR="00023DD5" w:rsidRPr="006F13CC">
        <w:rPr>
          <w:lang w:val="es-ES"/>
        </w:rPr>
        <w:t xml:space="preserve"> </w:t>
      </w:r>
      <w:r>
        <w:rPr>
          <w:lang w:val="es-ES"/>
        </w:rPr>
        <w:t>(sin incluir el efecto aguinaldo</w:t>
      </w:r>
      <w:r w:rsidR="008B661A">
        <w:rPr>
          <w:lang w:val="es-ES"/>
        </w:rPr>
        <w:t xml:space="preserve"> y </w:t>
      </w:r>
      <w:r w:rsidR="00632526">
        <w:rPr>
          <w:lang w:val="es-ES"/>
        </w:rPr>
        <w:t>otras variables</w:t>
      </w:r>
      <w:r w:rsidR="008B661A">
        <w:rPr>
          <w:lang w:val="es-ES"/>
        </w:rPr>
        <w:t xml:space="preserve"> como jubilaciones, subsidios y demás</w:t>
      </w:r>
      <w:r>
        <w:rPr>
          <w:lang w:val="es-ES"/>
        </w:rPr>
        <w:t>), se aprecia que c</w:t>
      </w:r>
      <w:r w:rsidR="00023DD5">
        <w:rPr>
          <w:lang w:val="es-ES"/>
        </w:rPr>
        <w:t xml:space="preserve">on respecto al 4to trimestre 2019, el ingreso medio de </w:t>
      </w:r>
      <w:r w:rsidR="00253305">
        <w:rPr>
          <w:lang w:val="es-ES"/>
        </w:rPr>
        <w:t xml:space="preserve">las y </w:t>
      </w:r>
      <w:r w:rsidR="00023DD5">
        <w:rPr>
          <w:lang w:val="es-ES"/>
        </w:rPr>
        <w:t xml:space="preserve">los </w:t>
      </w:r>
      <w:r w:rsidR="00253305">
        <w:rPr>
          <w:lang w:val="es-ES"/>
        </w:rPr>
        <w:t>trabajadores</w:t>
      </w:r>
      <w:r w:rsidR="00023DD5">
        <w:rPr>
          <w:lang w:val="es-ES"/>
        </w:rPr>
        <w:t xml:space="preserve"> aument</w:t>
      </w:r>
      <w:r w:rsidR="008B661A">
        <w:rPr>
          <w:lang w:val="es-ES"/>
        </w:rPr>
        <w:t>ó</w:t>
      </w:r>
      <w:r w:rsidR="00023DD5">
        <w:rPr>
          <w:lang w:val="es-ES"/>
        </w:rPr>
        <w:t xml:space="preserve"> un 7,7% nominal (frente a un 8,8% de inflación)</w:t>
      </w:r>
      <w:r w:rsidR="00530C97">
        <w:rPr>
          <w:lang w:val="es-ES"/>
        </w:rPr>
        <w:t>, lo cual se traduce</w:t>
      </w:r>
      <w:r w:rsidR="00023DD5">
        <w:rPr>
          <w:lang w:val="es-ES"/>
        </w:rPr>
        <w:t xml:space="preserve"> en una pérdida real </w:t>
      </w:r>
      <w:r>
        <w:rPr>
          <w:lang w:val="es-ES"/>
        </w:rPr>
        <w:t xml:space="preserve">promedio </w:t>
      </w:r>
      <w:r w:rsidR="00023DD5">
        <w:rPr>
          <w:lang w:val="es-ES"/>
        </w:rPr>
        <w:t>del 1%</w:t>
      </w:r>
      <w:r w:rsidR="00530C97">
        <w:rPr>
          <w:lang w:val="es-ES"/>
        </w:rPr>
        <w:t xml:space="preserve">. </w:t>
      </w:r>
      <w:r>
        <w:rPr>
          <w:lang w:val="es-ES"/>
        </w:rPr>
        <w:t>S</w:t>
      </w:r>
      <w:r w:rsidR="00294CED">
        <w:rPr>
          <w:lang w:val="es-ES"/>
        </w:rPr>
        <w:t>i bien</w:t>
      </w:r>
      <w:r>
        <w:rPr>
          <w:lang w:val="es-ES"/>
        </w:rPr>
        <w:t xml:space="preserve"> ello</w:t>
      </w:r>
      <w:r w:rsidR="00294CED">
        <w:rPr>
          <w:lang w:val="es-ES"/>
        </w:rPr>
        <w:t xml:space="preserve"> implica un nuevo recorte en el poder adquisitivo, </w:t>
      </w:r>
      <w:r>
        <w:rPr>
          <w:lang w:val="es-ES"/>
        </w:rPr>
        <w:t xml:space="preserve">se </w:t>
      </w:r>
      <w:r w:rsidR="00294CED">
        <w:rPr>
          <w:lang w:val="es-ES"/>
        </w:rPr>
        <w:t xml:space="preserve">modera </w:t>
      </w:r>
      <w:r>
        <w:rPr>
          <w:lang w:val="es-ES"/>
        </w:rPr>
        <w:t>el ritmo de</w:t>
      </w:r>
      <w:r w:rsidR="00294CED">
        <w:rPr>
          <w:lang w:val="es-ES"/>
        </w:rPr>
        <w:t xml:space="preserve"> caída con respecto </w:t>
      </w:r>
      <w:r>
        <w:rPr>
          <w:lang w:val="es-ES"/>
        </w:rPr>
        <w:t>al registrado</w:t>
      </w:r>
      <w:r w:rsidR="00294CED">
        <w:rPr>
          <w:lang w:val="es-ES"/>
        </w:rPr>
        <w:t xml:space="preserve"> en el 4to trimestre, cuando </w:t>
      </w:r>
      <w:r w:rsidR="008B661A">
        <w:rPr>
          <w:lang w:val="es-ES"/>
        </w:rPr>
        <w:t xml:space="preserve">los ingresos de los ocupados </w:t>
      </w:r>
      <w:r w:rsidR="00294CED">
        <w:rPr>
          <w:lang w:val="es-ES"/>
        </w:rPr>
        <w:t xml:space="preserve">habían sufrido </w:t>
      </w:r>
      <w:r>
        <w:rPr>
          <w:lang w:val="es-ES"/>
        </w:rPr>
        <w:t>un recorte</w:t>
      </w:r>
      <w:r w:rsidR="00294CED">
        <w:rPr>
          <w:lang w:val="es-ES"/>
        </w:rPr>
        <w:t xml:space="preserve"> promedio del 5,3%. </w:t>
      </w:r>
    </w:p>
    <w:p w14:paraId="66FF7BCE" w14:textId="77777777" w:rsidR="008B661A" w:rsidRDefault="008B661A" w:rsidP="00253305">
      <w:pPr>
        <w:jc w:val="both"/>
        <w:rPr>
          <w:lang w:val="es-ES"/>
        </w:rPr>
      </w:pPr>
    </w:p>
    <w:p w14:paraId="723D7C34" w14:textId="77777777" w:rsidR="00632526" w:rsidRDefault="002A6AB4" w:rsidP="00253305">
      <w:pPr>
        <w:jc w:val="both"/>
        <w:rPr>
          <w:lang w:val="es-ES"/>
        </w:rPr>
      </w:pPr>
      <w:r>
        <w:rPr>
          <w:lang w:val="es-ES"/>
        </w:rPr>
        <w:t>En cuanto a la dinámica distributiva, a</w:t>
      </w:r>
      <w:r w:rsidR="008B661A">
        <w:rPr>
          <w:lang w:val="es-ES"/>
        </w:rPr>
        <w:t xml:space="preserve"> diferencia de los resultados que surgen de considerar </w:t>
      </w:r>
      <w:r w:rsidR="00EB43D0">
        <w:rPr>
          <w:lang w:val="es-ES"/>
        </w:rPr>
        <w:t>al conjunto de la población</w:t>
      </w:r>
      <w:r w:rsidR="008B661A">
        <w:rPr>
          <w:lang w:val="es-ES"/>
        </w:rPr>
        <w:t xml:space="preserve">, al interior </w:t>
      </w:r>
      <w:r w:rsidR="00EB43D0">
        <w:rPr>
          <w:lang w:val="es-ES"/>
        </w:rPr>
        <w:t xml:space="preserve">de </w:t>
      </w:r>
      <w:r w:rsidR="00632526">
        <w:rPr>
          <w:lang w:val="es-ES"/>
        </w:rPr>
        <w:t>la población ocupada</w:t>
      </w:r>
      <w:r w:rsidR="008B661A">
        <w:rPr>
          <w:lang w:val="es-ES"/>
        </w:rPr>
        <w:t xml:space="preserve"> </w:t>
      </w:r>
      <w:r>
        <w:rPr>
          <w:lang w:val="es-ES"/>
        </w:rPr>
        <w:t xml:space="preserve">los resultados </w:t>
      </w:r>
      <w:r w:rsidR="00632526">
        <w:rPr>
          <w:lang w:val="es-ES"/>
        </w:rPr>
        <w:t xml:space="preserve">de este trimestre </w:t>
      </w:r>
      <w:r w:rsidR="00EB43D0">
        <w:rPr>
          <w:lang w:val="es-ES"/>
        </w:rPr>
        <w:t>indican</w:t>
      </w:r>
      <w:r w:rsidR="00294CED">
        <w:rPr>
          <w:lang w:val="es-ES"/>
        </w:rPr>
        <w:t xml:space="preserve"> cierta progresividad</w:t>
      </w:r>
      <w:r w:rsidR="008B661A">
        <w:rPr>
          <w:lang w:val="es-ES"/>
        </w:rPr>
        <w:t xml:space="preserve"> con respecto al trimestre anterior</w:t>
      </w:r>
      <w:r w:rsidR="00632526">
        <w:rPr>
          <w:lang w:val="es-ES"/>
        </w:rPr>
        <w:t>. Al tiempo que</w:t>
      </w:r>
      <w:r w:rsidR="00530C97">
        <w:rPr>
          <w:lang w:val="es-ES"/>
        </w:rPr>
        <w:t xml:space="preserve"> el primer decil presenta </w:t>
      </w:r>
      <w:r w:rsidR="00632526">
        <w:rPr>
          <w:lang w:val="es-ES"/>
        </w:rPr>
        <w:t>la</w:t>
      </w:r>
      <w:r w:rsidR="00530C97">
        <w:rPr>
          <w:lang w:val="es-ES"/>
        </w:rPr>
        <w:t xml:space="preserve"> mejora real </w:t>
      </w:r>
      <w:r w:rsidR="00632526">
        <w:rPr>
          <w:lang w:val="es-ES"/>
        </w:rPr>
        <w:t>más alta (+</w:t>
      </w:r>
      <w:r w:rsidR="00530C97">
        <w:rPr>
          <w:lang w:val="es-ES"/>
        </w:rPr>
        <w:t>8,1%</w:t>
      </w:r>
      <w:r w:rsidR="00632526">
        <w:rPr>
          <w:lang w:val="es-ES"/>
        </w:rPr>
        <w:t>)</w:t>
      </w:r>
      <w:r w:rsidR="00530C97">
        <w:rPr>
          <w:lang w:val="es-ES"/>
        </w:rPr>
        <w:t xml:space="preserve">, los deciles </w:t>
      </w:r>
      <w:r w:rsidR="00632526">
        <w:rPr>
          <w:lang w:val="es-ES"/>
        </w:rPr>
        <w:t xml:space="preserve">medios son los </w:t>
      </w:r>
      <w:r w:rsidR="00530C97">
        <w:rPr>
          <w:lang w:val="es-ES"/>
        </w:rPr>
        <w:t xml:space="preserve">que </w:t>
      </w:r>
      <w:r w:rsidR="00632526">
        <w:rPr>
          <w:lang w:val="es-ES"/>
        </w:rPr>
        <w:t>registran un mayor deterioro.</w:t>
      </w:r>
    </w:p>
    <w:p w14:paraId="3BD2C616" w14:textId="77777777" w:rsidR="00632526" w:rsidRDefault="00632526" w:rsidP="00253305">
      <w:pPr>
        <w:jc w:val="both"/>
        <w:rPr>
          <w:lang w:val="es-ES"/>
        </w:rPr>
      </w:pPr>
    </w:p>
    <w:p w14:paraId="200602C0" w14:textId="77777777" w:rsidR="00530C97" w:rsidRPr="00023DD5" w:rsidRDefault="00EB43D0" w:rsidP="00253305">
      <w:pPr>
        <w:jc w:val="both"/>
        <w:rPr>
          <w:lang w:val="es-ES"/>
        </w:rPr>
      </w:pPr>
      <w:r>
        <w:rPr>
          <w:lang w:val="es-ES"/>
        </w:rPr>
        <w:t xml:space="preserve">En términos interanuales, el ingreso medio de los ocupados </w:t>
      </w:r>
      <w:r w:rsidR="00253305">
        <w:rPr>
          <w:lang w:val="es-ES"/>
        </w:rPr>
        <w:t>arroja</w:t>
      </w:r>
      <w:r w:rsidR="00530C97">
        <w:rPr>
          <w:lang w:val="es-ES"/>
        </w:rPr>
        <w:t xml:space="preserve"> una pérdida real del 7,2%</w:t>
      </w:r>
      <w:r w:rsidR="00294CED">
        <w:rPr>
          <w:lang w:val="es-ES"/>
        </w:rPr>
        <w:t xml:space="preserve">, producto de que los ingresos de los </w:t>
      </w:r>
      <w:r w:rsidR="00253305">
        <w:rPr>
          <w:lang w:val="es-ES"/>
        </w:rPr>
        <w:t>trabajadores</w:t>
      </w:r>
      <w:r w:rsidR="00294CED">
        <w:rPr>
          <w:lang w:val="es-ES"/>
        </w:rPr>
        <w:t xml:space="preserve"> se incrementa</w:t>
      </w:r>
      <w:r w:rsidR="00253305">
        <w:rPr>
          <w:lang w:val="es-ES"/>
        </w:rPr>
        <w:t>ro</w:t>
      </w:r>
      <w:r w:rsidR="00294CED">
        <w:rPr>
          <w:lang w:val="es-ES"/>
        </w:rPr>
        <w:t>n nominalmente en promedio casi un 40%, frente a un 50% de inflación.</w:t>
      </w:r>
      <w:r w:rsidR="00253305">
        <w:rPr>
          <w:lang w:val="es-ES"/>
        </w:rPr>
        <w:t xml:space="preserve"> </w:t>
      </w:r>
      <w:r>
        <w:rPr>
          <w:lang w:val="es-ES"/>
        </w:rPr>
        <w:t>En ese período, todos los deciles detentan un deterioro real en sus ingresos, que resultó más pronunciado en los deciles medios (con una caída que llega al 10% en el decil 5)</w:t>
      </w:r>
      <w:r w:rsidR="00015108">
        <w:rPr>
          <w:lang w:val="es-ES"/>
        </w:rPr>
        <w:t xml:space="preserve">. </w:t>
      </w:r>
      <w:r w:rsidR="00BE2998">
        <w:rPr>
          <w:lang w:val="es-ES"/>
        </w:rPr>
        <w:t>E</w:t>
      </w:r>
      <w:r w:rsidR="00015108">
        <w:rPr>
          <w:lang w:val="es-ES"/>
        </w:rPr>
        <w:t>l decil de más bajos ingresos presentó el menor deterioro (-3,2%) mientras el decil de mayores ingresos registró una pérdida real del 5,3%.</w:t>
      </w:r>
    </w:p>
    <w:p w14:paraId="21A4418A" w14:textId="77777777" w:rsidR="009244E9" w:rsidRDefault="009244E9" w:rsidP="009244E9">
      <w:pPr>
        <w:jc w:val="both"/>
        <w:rPr>
          <w:lang w:val="es-ES"/>
        </w:rPr>
      </w:pPr>
    </w:p>
    <w:p w14:paraId="3573110B" w14:textId="77777777" w:rsidR="00253305" w:rsidRDefault="00253305" w:rsidP="009244E9">
      <w:pPr>
        <w:jc w:val="both"/>
        <w:rPr>
          <w:lang w:val="es-ES"/>
        </w:rPr>
      </w:pPr>
    </w:p>
    <w:p w14:paraId="1A619888" w14:textId="77777777" w:rsidR="00632526" w:rsidRDefault="00632526" w:rsidP="009244E9">
      <w:pPr>
        <w:jc w:val="both"/>
        <w:rPr>
          <w:lang w:val="es-ES"/>
        </w:rPr>
      </w:pPr>
    </w:p>
    <w:p w14:paraId="2D256276" w14:textId="77777777" w:rsidR="00632526" w:rsidRDefault="00632526" w:rsidP="009244E9">
      <w:pPr>
        <w:jc w:val="both"/>
        <w:rPr>
          <w:lang w:val="es-ES"/>
        </w:rPr>
      </w:pPr>
    </w:p>
    <w:p w14:paraId="0E3F2688" w14:textId="77777777" w:rsidR="00632526" w:rsidRDefault="00632526" w:rsidP="009244E9">
      <w:pPr>
        <w:jc w:val="both"/>
        <w:rPr>
          <w:lang w:val="es-ES"/>
        </w:rPr>
      </w:pPr>
    </w:p>
    <w:p w14:paraId="27B5E4D5" w14:textId="77777777" w:rsidR="00632526" w:rsidRDefault="00632526" w:rsidP="009244E9">
      <w:pPr>
        <w:jc w:val="both"/>
        <w:rPr>
          <w:lang w:val="es-ES"/>
        </w:rPr>
      </w:pPr>
    </w:p>
    <w:p w14:paraId="0818866A" w14:textId="77777777" w:rsidR="00632526" w:rsidRDefault="00632526" w:rsidP="009244E9">
      <w:pPr>
        <w:jc w:val="both"/>
        <w:rPr>
          <w:lang w:val="es-ES"/>
        </w:rPr>
      </w:pPr>
    </w:p>
    <w:p w14:paraId="2FE94B7A" w14:textId="77777777" w:rsidR="00632526" w:rsidRDefault="00632526" w:rsidP="009244E9">
      <w:pPr>
        <w:jc w:val="both"/>
        <w:rPr>
          <w:lang w:val="es-ES"/>
        </w:rPr>
      </w:pPr>
    </w:p>
    <w:p w14:paraId="24015F4A" w14:textId="77777777" w:rsidR="00632526" w:rsidRDefault="00632526" w:rsidP="009244E9">
      <w:pPr>
        <w:jc w:val="both"/>
        <w:rPr>
          <w:lang w:val="es-ES"/>
        </w:rPr>
      </w:pPr>
    </w:p>
    <w:p w14:paraId="63B156CC" w14:textId="77777777" w:rsidR="008B661A" w:rsidRPr="008B661A" w:rsidRDefault="008B661A" w:rsidP="008B661A">
      <w:pPr>
        <w:ind w:left="284"/>
        <w:rPr>
          <w:lang w:val="es-ES"/>
        </w:rPr>
      </w:pPr>
      <w:r w:rsidRPr="008B661A">
        <w:rPr>
          <w:b/>
          <w:lang w:val="es-ES"/>
        </w:rPr>
        <w:lastRenderedPageBreak/>
        <w:t xml:space="preserve">Cuadro </w:t>
      </w:r>
      <w:r>
        <w:rPr>
          <w:b/>
          <w:lang w:val="es-ES"/>
        </w:rPr>
        <w:t>2</w:t>
      </w:r>
      <w:r w:rsidRPr="008B661A">
        <w:rPr>
          <w:b/>
          <w:lang w:val="es-ES"/>
        </w:rPr>
        <w:t>.</w:t>
      </w:r>
      <w:r w:rsidRPr="008B661A">
        <w:rPr>
          <w:lang w:val="es-ES"/>
        </w:rPr>
        <w:t xml:space="preserve"> </w:t>
      </w:r>
      <w:r>
        <w:rPr>
          <w:lang w:val="es-ES"/>
        </w:rPr>
        <w:t>Ocupados</w:t>
      </w:r>
      <w:r w:rsidRPr="008B661A">
        <w:rPr>
          <w:lang w:val="es-ES"/>
        </w:rPr>
        <w:t xml:space="preserve"> según </w:t>
      </w:r>
      <w:r>
        <w:rPr>
          <w:lang w:val="es-ES"/>
        </w:rPr>
        <w:t xml:space="preserve">escala </w:t>
      </w:r>
      <w:proofErr w:type="spellStart"/>
      <w:r>
        <w:rPr>
          <w:lang w:val="es-ES"/>
        </w:rPr>
        <w:t>decílica</w:t>
      </w:r>
      <w:proofErr w:type="spellEnd"/>
      <w:r>
        <w:rPr>
          <w:lang w:val="es-ES"/>
        </w:rPr>
        <w:t xml:space="preserve"> de </w:t>
      </w:r>
      <w:r w:rsidRPr="008B661A">
        <w:rPr>
          <w:lang w:val="es-ES"/>
        </w:rPr>
        <w:t>ingreso</w:t>
      </w:r>
      <w:r>
        <w:rPr>
          <w:lang w:val="es-ES"/>
        </w:rPr>
        <w:t>s de la ocupación principal</w:t>
      </w:r>
      <w:r w:rsidRPr="008B661A">
        <w:rPr>
          <w:lang w:val="es-ES"/>
        </w:rPr>
        <w:t>. Variación nominal y real.</w:t>
      </w:r>
      <w:r>
        <w:rPr>
          <w:lang w:val="es-ES"/>
        </w:rPr>
        <w:t xml:space="preserve"> </w:t>
      </w:r>
      <w:r w:rsidRPr="008B661A">
        <w:rPr>
          <w:lang w:val="es-ES"/>
        </w:rPr>
        <w:t xml:space="preserve">1er </w:t>
      </w:r>
      <w:proofErr w:type="spellStart"/>
      <w:r w:rsidRPr="008B661A">
        <w:rPr>
          <w:lang w:val="es-ES"/>
        </w:rPr>
        <w:t>trim</w:t>
      </w:r>
      <w:proofErr w:type="spellEnd"/>
      <w:r w:rsidRPr="008B661A">
        <w:rPr>
          <w:lang w:val="es-ES"/>
        </w:rPr>
        <w:t xml:space="preserve">. 2019-1er </w:t>
      </w:r>
      <w:proofErr w:type="spellStart"/>
      <w:r w:rsidRPr="008B661A">
        <w:rPr>
          <w:lang w:val="es-ES"/>
        </w:rPr>
        <w:t>trim</w:t>
      </w:r>
      <w:proofErr w:type="spellEnd"/>
      <w:r w:rsidRPr="008B661A">
        <w:rPr>
          <w:lang w:val="es-ES"/>
        </w:rPr>
        <w:t>. 2020.</w:t>
      </w:r>
    </w:p>
    <w:tbl>
      <w:tblPr>
        <w:tblW w:w="8184" w:type="dxa"/>
        <w:jc w:val="center"/>
        <w:tblCellMar>
          <w:left w:w="70" w:type="dxa"/>
          <w:right w:w="70" w:type="dxa"/>
        </w:tblCellMar>
        <w:tblLook w:val="04A0" w:firstRow="1" w:lastRow="0" w:firstColumn="1" w:lastColumn="0" w:noHBand="0" w:noVBand="1"/>
      </w:tblPr>
      <w:tblGrid>
        <w:gridCol w:w="2244"/>
        <w:gridCol w:w="719"/>
        <w:gridCol w:w="719"/>
        <w:gridCol w:w="719"/>
        <w:gridCol w:w="941"/>
        <w:gridCol w:w="941"/>
        <w:gridCol w:w="941"/>
        <w:gridCol w:w="960"/>
      </w:tblGrid>
      <w:tr w:rsidR="00526BD6" w:rsidRPr="00526BD6" w14:paraId="702D1176" w14:textId="77777777" w:rsidTr="008B661A">
        <w:trPr>
          <w:trHeight w:val="255"/>
          <w:jc w:val="center"/>
        </w:trPr>
        <w:tc>
          <w:tcPr>
            <w:tcW w:w="2244"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255BC3CD"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Número de decil</w:t>
            </w:r>
          </w:p>
        </w:tc>
        <w:tc>
          <w:tcPr>
            <w:tcW w:w="2157" w:type="dxa"/>
            <w:gridSpan w:val="3"/>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C735455"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8B661A">
              <w:rPr>
                <w:rFonts w:ascii="Arial" w:eastAsia="Times New Roman" w:hAnsi="Arial" w:cs="Arial"/>
                <w:color w:val="FFFFFF" w:themeColor="background1"/>
                <w:sz w:val="16"/>
                <w:szCs w:val="16"/>
                <w:lang w:eastAsia="es-AR"/>
              </w:rPr>
              <w:t>Ingresos medios</w:t>
            </w:r>
            <w:r w:rsidR="00015108">
              <w:rPr>
                <w:rFonts w:ascii="Arial" w:eastAsia="Times New Roman" w:hAnsi="Arial" w:cs="Arial"/>
                <w:color w:val="FFFFFF" w:themeColor="background1"/>
                <w:sz w:val="16"/>
                <w:szCs w:val="16"/>
                <w:lang w:eastAsia="es-AR"/>
              </w:rPr>
              <w:t xml:space="preserve"> (en $)</w:t>
            </w:r>
          </w:p>
        </w:tc>
        <w:tc>
          <w:tcPr>
            <w:tcW w:w="1882" w:type="dxa"/>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7717F1"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Variación nominal</w:t>
            </w:r>
          </w:p>
        </w:tc>
        <w:tc>
          <w:tcPr>
            <w:tcW w:w="1901" w:type="dxa"/>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DE7B4E" w14:textId="77777777" w:rsidR="00526BD6" w:rsidRPr="00526BD6" w:rsidRDefault="00526BD6" w:rsidP="00015108">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 xml:space="preserve">Variación </w:t>
            </w:r>
            <w:r w:rsidR="00015108">
              <w:rPr>
                <w:rFonts w:ascii="Arial" w:eastAsia="Times New Roman" w:hAnsi="Arial" w:cs="Arial"/>
                <w:color w:val="FFFFFF" w:themeColor="background1"/>
                <w:sz w:val="16"/>
                <w:szCs w:val="16"/>
                <w:lang w:eastAsia="es-AR"/>
              </w:rPr>
              <w:t>real</w:t>
            </w:r>
          </w:p>
        </w:tc>
      </w:tr>
      <w:tr w:rsidR="008B661A" w:rsidRPr="00526BD6" w14:paraId="6CC7A3AE" w14:textId="77777777" w:rsidTr="008B661A">
        <w:trPr>
          <w:trHeight w:val="255"/>
          <w:jc w:val="center"/>
        </w:trPr>
        <w:tc>
          <w:tcPr>
            <w:tcW w:w="2244" w:type="dxa"/>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0C03C991" w14:textId="77777777" w:rsidR="00526BD6" w:rsidRPr="00526BD6" w:rsidRDefault="00526BD6" w:rsidP="00526BD6">
            <w:pPr>
              <w:rPr>
                <w:rFonts w:ascii="Arial" w:eastAsia="Times New Roman" w:hAnsi="Arial" w:cs="Arial"/>
                <w:color w:val="FFFFFF" w:themeColor="background1"/>
                <w:sz w:val="16"/>
                <w:szCs w:val="16"/>
                <w:lang w:eastAsia="es-AR"/>
              </w:rPr>
            </w:pPr>
          </w:p>
        </w:tc>
        <w:tc>
          <w:tcPr>
            <w:tcW w:w="71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8587028"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1T19</w:t>
            </w:r>
          </w:p>
        </w:tc>
        <w:tc>
          <w:tcPr>
            <w:tcW w:w="71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3D37603"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4T19</w:t>
            </w:r>
          </w:p>
        </w:tc>
        <w:tc>
          <w:tcPr>
            <w:tcW w:w="71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26335DF"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1T20</w:t>
            </w:r>
          </w:p>
        </w:tc>
        <w:tc>
          <w:tcPr>
            <w:tcW w:w="94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3166B40"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Trimestral</w:t>
            </w:r>
          </w:p>
        </w:tc>
        <w:tc>
          <w:tcPr>
            <w:tcW w:w="94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E1D5BC8"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Interanual</w:t>
            </w:r>
          </w:p>
        </w:tc>
        <w:tc>
          <w:tcPr>
            <w:tcW w:w="94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756BFDA"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Trimestral</w:t>
            </w:r>
          </w:p>
        </w:tc>
        <w:tc>
          <w:tcPr>
            <w:tcW w:w="9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60AF0E1" w14:textId="77777777" w:rsidR="00526BD6" w:rsidRPr="00526BD6" w:rsidRDefault="00526BD6" w:rsidP="00526BD6">
            <w:pPr>
              <w:jc w:val="center"/>
              <w:rPr>
                <w:rFonts w:ascii="Arial" w:eastAsia="Times New Roman" w:hAnsi="Arial" w:cs="Arial"/>
                <w:color w:val="FFFFFF" w:themeColor="background1"/>
                <w:sz w:val="16"/>
                <w:szCs w:val="16"/>
                <w:lang w:eastAsia="es-AR"/>
              </w:rPr>
            </w:pPr>
            <w:r w:rsidRPr="00526BD6">
              <w:rPr>
                <w:rFonts w:ascii="Arial" w:eastAsia="Times New Roman" w:hAnsi="Arial" w:cs="Arial"/>
                <w:color w:val="FFFFFF" w:themeColor="background1"/>
                <w:sz w:val="16"/>
                <w:szCs w:val="16"/>
                <w:lang w:eastAsia="es-AR"/>
              </w:rPr>
              <w:t>Interanual</w:t>
            </w:r>
          </w:p>
        </w:tc>
      </w:tr>
      <w:tr w:rsidR="008B661A" w:rsidRPr="00526BD6" w14:paraId="426FB52D" w14:textId="77777777" w:rsidTr="008B661A">
        <w:trPr>
          <w:trHeight w:val="255"/>
          <w:jc w:val="center"/>
        </w:trPr>
        <w:tc>
          <w:tcPr>
            <w:tcW w:w="2244" w:type="dxa"/>
            <w:tcBorders>
              <w:top w:val="single" w:sz="4" w:space="0" w:color="auto"/>
              <w:left w:val="single" w:sz="4" w:space="0" w:color="auto"/>
              <w:bottom w:val="nil"/>
              <w:right w:val="single" w:sz="4" w:space="0" w:color="auto"/>
            </w:tcBorders>
            <w:shd w:val="clear" w:color="auto" w:fill="auto"/>
            <w:vAlign w:val="bottom"/>
            <w:hideMark/>
          </w:tcPr>
          <w:p w14:paraId="41DF300A" w14:textId="77777777" w:rsidR="00526BD6" w:rsidRPr="00526BD6" w:rsidRDefault="00526BD6" w:rsidP="00526BD6">
            <w:pPr>
              <w:rPr>
                <w:rFonts w:ascii="Arial" w:eastAsia="Times New Roman" w:hAnsi="Arial" w:cs="Arial"/>
                <w:sz w:val="16"/>
                <w:szCs w:val="16"/>
                <w:lang w:eastAsia="es-AR"/>
              </w:rPr>
            </w:pPr>
            <w:r w:rsidRPr="00526BD6">
              <w:rPr>
                <w:rFonts w:ascii="Arial" w:eastAsia="Times New Roman" w:hAnsi="Arial" w:cs="Arial"/>
                <w:sz w:val="16"/>
                <w:szCs w:val="16"/>
                <w:lang w:eastAsia="es-AR"/>
              </w:rPr>
              <w:t> </w:t>
            </w:r>
          </w:p>
        </w:tc>
        <w:tc>
          <w:tcPr>
            <w:tcW w:w="719" w:type="dxa"/>
            <w:tcBorders>
              <w:top w:val="single" w:sz="4" w:space="0" w:color="auto"/>
              <w:left w:val="single" w:sz="4" w:space="0" w:color="auto"/>
              <w:bottom w:val="nil"/>
              <w:right w:val="single" w:sz="4" w:space="0" w:color="auto"/>
            </w:tcBorders>
            <w:shd w:val="clear" w:color="auto" w:fill="auto"/>
            <w:noWrap/>
            <w:vAlign w:val="bottom"/>
            <w:hideMark/>
          </w:tcPr>
          <w:p w14:paraId="2A42C3C7" w14:textId="77777777" w:rsidR="00526BD6" w:rsidRPr="00526BD6" w:rsidRDefault="00526BD6" w:rsidP="00526BD6">
            <w:pPr>
              <w:rPr>
                <w:rFonts w:ascii="Arial" w:eastAsia="Times New Roman" w:hAnsi="Arial" w:cs="Arial"/>
                <w:sz w:val="20"/>
                <w:szCs w:val="20"/>
                <w:lang w:eastAsia="es-AR"/>
              </w:rPr>
            </w:pPr>
            <w:r w:rsidRPr="00526BD6">
              <w:rPr>
                <w:rFonts w:ascii="Arial" w:eastAsia="Times New Roman" w:hAnsi="Arial" w:cs="Arial"/>
                <w:sz w:val="20"/>
                <w:szCs w:val="20"/>
                <w:lang w:eastAsia="es-AR"/>
              </w:rPr>
              <w:t> </w:t>
            </w:r>
          </w:p>
        </w:tc>
        <w:tc>
          <w:tcPr>
            <w:tcW w:w="719" w:type="dxa"/>
            <w:tcBorders>
              <w:top w:val="single" w:sz="4" w:space="0" w:color="auto"/>
              <w:left w:val="single" w:sz="4" w:space="0" w:color="auto"/>
              <w:bottom w:val="nil"/>
              <w:right w:val="single" w:sz="4" w:space="0" w:color="auto"/>
            </w:tcBorders>
            <w:shd w:val="clear" w:color="auto" w:fill="auto"/>
            <w:noWrap/>
            <w:vAlign w:val="bottom"/>
            <w:hideMark/>
          </w:tcPr>
          <w:p w14:paraId="5E5D8275" w14:textId="77777777" w:rsidR="00526BD6" w:rsidRPr="00526BD6" w:rsidRDefault="00526BD6" w:rsidP="00526BD6">
            <w:pPr>
              <w:rPr>
                <w:rFonts w:ascii="Arial" w:eastAsia="Times New Roman" w:hAnsi="Arial" w:cs="Arial"/>
                <w:sz w:val="20"/>
                <w:szCs w:val="20"/>
                <w:lang w:eastAsia="es-AR"/>
              </w:rPr>
            </w:pPr>
            <w:r w:rsidRPr="00526BD6">
              <w:rPr>
                <w:rFonts w:ascii="Arial" w:eastAsia="Times New Roman" w:hAnsi="Arial" w:cs="Arial"/>
                <w:sz w:val="20"/>
                <w:szCs w:val="20"/>
                <w:lang w:eastAsia="es-AR"/>
              </w:rPr>
              <w:t> </w:t>
            </w:r>
          </w:p>
        </w:tc>
        <w:tc>
          <w:tcPr>
            <w:tcW w:w="719" w:type="dxa"/>
            <w:tcBorders>
              <w:top w:val="single" w:sz="4" w:space="0" w:color="auto"/>
              <w:left w:val="single" w:sz="4" w:space="0" w:color="auto"/>
              <w:bottom w:val="nil"/>
              <w:right w:val="single" w:sz="4" w:space="0" w:color="auto"/>
            </w:tcBorders>
            <w:shd w:val="clear" w:color="auto" w:fill="auto"/>
            <w:vAlign w:val="bottom"/>
            <w:hideMark/>
          </w:tcPr>
          <w:p w14:paraId="4462A230" w14:textId="77777777" w:rsidR="00526BD6" w:rsidRPr="00526BD6" w:rsidRDefault="00526BD6" w:rsidP="00526BD6">
            <w:pPr>
              <w:rPr>
                <w:rFonts w:ascii="Arial" w:eastAsia="Times New Roman" w:hAnsi="Arial" w:cs="Arial"/>
                <w:sz w:val="16"/>
                <w:szCs w:val="16"/>
                <w:lang w:eastAsia="es-AR"/>
              </w:rPr>
            </w:pPr>
            <w:r w:rsidRPr="00526BD6">
              <w:rPr>
                <w:rFonts w:ascii="Arial" w:eastAsia="Times New Roman" w:hAnsi="Arial" w:cs="Arial"/>
                <w:sz w:val="16"/>
                <w:szCs w:val="16"/>
                <w:lang w:eastAsia="es-AR"/>
              </w:rPr>
              <w:t> </w:t>
            </w:r>
          </w:p>
        </w:tc>
        <w:tc>
          <w:tcPr>
            <w:tcW w:w="941" w:type="dxa"/>
            <w:tcBorders>
              <w:top w:val="single" w:sz="4" w:space="0" w:color="auto"/>
              <w:left w:val="single" w:sz="4" w:space="0" w:color="auto"/>
              <w:bottom w:val="nil"/>
              <w:right w:val="single" w:sz="4" w:space="0" w:color="auto"/>
            </w:tcBorders>
            <w:shd w:val="clear" w:color="auto" w:fill="auto"/>
            <w:noWrap/>
            <w:vAlign w:val="bottom"/>
            <w:hideMark/>
          </w:tcPr>
          <w:p w14:paraId="16F4E38E" w14:textId="77777777" w:rsidR="00526BD6" w:rsidRPr="00526BD6" w:rsidRDefault="00526BD6" w:rsidP="00526BD6">
            <w:pPr>
              <w:rPr>
                <w:rFonts w:ascii="Arial" w:eastAsia="Times New Roman" w:hAnsi="Arial" w:cs="Arial"/>
                <w:sz w:val="20"/>
                <w:szCs w:val="20"/>
                <w:lang w:eastAsia="es-AR"/>
              </w:rPr>
            </w:pPr>
            <w:r w:rsidRPr="00526BD6">
              <w:rPr>
                <w:rFonts w:ascii="Arial" w:eastAsia="Times New Roman" w:hAnsi="Arial" w:cs="Arial"/>
                <w:sz w:val="20"/>
                <w:szCs w:val="20"/>
                <w:lang w:eastAsia="es-AR"/>
              </w:rPr>
              <w:t> </w:t>
            </w:r>
          </w:p>
        </w:tc>
        <w:tc>
          <w:tcPr>
            <w:tcW w:w="941" w:type="dxa"/>
            <w:tcBorders>
              <w:top w:val="single" w:sz="4" w:space="0" w:color="auto"/>
              <w:left w:val="single" w:sz="4" w:space="0" w:color="auto"/>
              <w:bottom w:val="nil"/>
              <w:right w:val="single" w:sz="4" w:space="0" w:color="auto"/>
            </w:tcBorders>
            <w:shd w:val="clear" w:color="auto" w:fill="auto"/>
            <w:noWrap/>
            <w:vAlign w:val="bottom"/>
            <w:hideMark/>
          </w:tcPr>
          <w:p w14:paraId="4BCA8970" w14:textId="77777777" w:rsidR="00526BD6" w:rsidRPr="00526BD6" w:rsidRDefault="00526BD6" w:rsidP="00526BD6">
            <w:pPr>
              <w:rPr>
                <w:rFonts w:ascii="Arial" w:eastAsia="Times New Roman" w:hAnsi="Arial" w:cs="Arial"/>
                <w:sz w:val="20"/>
                <w:szCs w:val="20"/>
                <w:lang w:eastAsia="es-AR"/>
              </w:rPr>
            </w:pPr>
            <w:r w:rsidRPr="00526BD6">
              <w:rPr>
                <w:rFonts w:ascii="Arial" w:eastAsia="Times New Roman" w:hAnsi="Arial" w:cs="Arial"/>
                <w:sz w:val="20"/>
                <w:szCs w:val="20"/>
                <w:lang w:eastAsia="es-AR"/>
              </w:rPr>
              <w:t> </w:t>
            </w:r>
          </w:p>
        </w:tc>
        <w:tc>
          <w:tcPr>
            <w:tcW w:w="941" w:type="dxa"/>
            <w:tcBorders>
              <w:top w:val="single" w:sz="4" w:space="0" w:color="auto"/>
              <w:left w:val="single" w:sz="4" w:space="0" w:color="auto"/>
              <w:bottom w:val="nil"/>
              <w:right w:val="single" w:sz="4" w:space="0" w:color="auto"/>
            </w:tcBorders>
            <w:shd w:val="clear" w:color="auto" w:fill="auto"/>
            <w:noWrap/>
            <w:vAlign w:val="bottom"/>
            <w:hideMark/>
          </w:tcPr>
          <w:p w14:paraId="34077923" w14:textId="77777777" w:rsidR="00526BD6" w:rsidRPr="00526BD6" w:rsidRDefault="00526BD6" w:rsidP="00526BD6">
            <w:pPr>
              <w:rPr>
                <w:rFonts w:ascii="Arial" w:eastAsia="Times New Roman" w:hAnsi="Arial" w:cs="Arial"/>
                <w:sz w:val="20"/>
                <w:szCs w:val="20"/>
                <w:lang w:eastAsia="es-AR"/>
              </w:rPr>
            </w:pPr>
            <w:r w:rsidRPr="00526BD6">
              <w:rPr>
                <w:rFonts w:ascii="Arial" w:eastAsia="Times New Roman" w:hAnsi="Arial" w:cs="Arial"/>
                <w:sz w:val="20"/>
                <w:szCs w:val="20"/>
                <w:lang w:eastAsia="es-AR"/>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1DBEF953" w14:textId="77777777" w:rsidR="00526BD6" w:rsidRPr="00526BD6" w:rsidRDefault="00526BD6" w:rsidP="00526BD6">
            <w:pPr>
              <w:rPr>
                <w:rFonts w:ascii="Arial" w:eastAsia="Times New Roman" w:hAnsi="Arial" w:cs="Arial"/>
                <w:sz w:val="20"/>
                <w:szCs w:val="20"/>
                <w:lang w:eastAsia="es-AR"/>
              </w:rPr>
            </w:pPr>
            <w:r w:rsidRPr="00526BD6">
              <w:rPr>
                <w:rFonts w:ascii="Arial" w:eastAsia="Times New Roman" w:hAnsi="Arial" w:cs="Arial"/>
                <w:sz w:val="20"/>
                <w:szCs w:val="20"/>
                <w:lang w:eastAsia="es-AR"/>
              </w:rPr>
              <w:t> </w:t>
            </w:r>
          </w:p>
        </w:tc>
      </w:tr>
      <w:tr w:rsidR="008B661A" w:rsidRPr="00526BD6" w14:paraId="2005C46C" w14:textId="77777777" w:rsidTr="008B661A">
        <w:trPr>
          <w:trHeight w:val="85"/>
          <w:jc w:val="center"/>
        </w:trPr>
        <w:tc>
          <w:tcPr>
            <w:tcW w:w="2244" w:type="dxa"/>
            <w:tcBorders>
              <w:top w:val="nil"/>
              <w:left w:val="single" w:sz="4" w:space="0" w:color="auto"/>
              <w:bottom w:val="nil"/>
              <w:right w:val="single" w:sz="4" w:space="0" w:color="auto"/>
            </w:tcBorders>
            <w:shd w:val="clear" w:color="auto" w:fill="auto"/>
            <w:vAlign w:val="bottom"/>
            <w:hideMark/>
          </w:tcPr>
          <w:p w14:paraId="528658E3"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1</w:t>
            </w:r>
          </w:p>
        </w:tc>
        <w:tc>
          <w:tcPr>
            <w:tcW w:w="719" w:type="dxa"/>
            <w:tcBorders>
              <w:top w:val="nil"/>
              <w:left w:val="single" w:sz="4" w:space="0" w:color="auto"/>
              <w:bottom w:val="nil"/>
              <w:right w:val="single" w:sz="4" w:space="0" w:color="auto"/>
            </w:tcBorders>
            <w:shd w:val="clear" w:color="auto" w:fill="auto"/>
            <w:vAlign w:val="bottom"/>
            <w:hideMark/>
          </w:tcPr>
          <w:p w14:paraId="070CD8A1"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2.585</w:t>
            </w:r>
          </w:p>
        </w:tc>
        <w:tc>
          <w:tcPr>
            <w:tcW w:w="719" w:type="dxa"/>
            <w:tcBorders>
              <w:top w:val="nil"/>
              <w:left w:val="single" w:sz="4" w:space="0" w:color="auto"/>
              <w:bottom w:val="nil"/>
              <w:right w:val="single" w:sz="4" w:space="0" w:color="auto"/>
            </w:tcBorders>
            <w:shd w:val="clear" w:color="auto" w:fill="auto"/>
            <w:vAlign w:val="bottom"/>
            <w:hideMark/>
          </w:tcPr>
          <w:p w14:paraId="12DF5C00"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3.199</w:t>
            </w:r>
          </w:p>
        </w:tc>
        <w:tc>
          <w:tcPr>
            <w:tcW w:w="719" w:type="dxa"/>
            <w:tcBorders>
              <w:top w:val="nil"/>
              <w:left w:val="single" w:sz="4" w:space="0" w:color="auto"/>
              <w:bottom w:val="nil"/>
              <w:right w:val="single" w:sz="4" w:space="0" w:color="auto"/>
            </w:tcBorders>
            <w:shd w:val="clear" w:color="auto" w:fill="auto"/>
            <w:vAlign w:val="bottom"/>
            <w:hideMark/>
          </w:tcPr>
          <w:p w14:paraId="1DD938BB"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3.764</w:t>
            </w:r>
          </w:p>
        </w:tc>
        <w:tc>
          <w:tcPr>
            <w:tcW w:w="941" w:type="dxa"/>
            <w:tcBorders>
              <w:top w:val="nil"/>
              <w:left w:val="single" w:sz="4" w:space="0" w:color="auto"/>
              <w:bottom w:val="nil"/>
              <w:right w:val="single" w:sz="4" w:space="0" w:color="auto"/>
            </w:tcBorders>
            <w:shd w:val="clear" w:color="auto" w:fill="auto"/>
            <w:noWrap/>
            <w:vAlign w:val="bottom"/>
            <w:hideMark/>
          </w:tcPr>
          <w:p w14:paraId="31621169"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17,7%</w:t>
            </w:r>
          </w:p>
        </w:tc>
        <w:tc>
          <w:tcPr>
            <w:tcW w:w="941" w:type="dxa"/>
            <w:tcBorders>
              <w:top w:val="nil"/>
              <w:left w:val="single" w:sz="4" w:space="0" w:color="auto"/>
              <w:bottom w:val="nil"/>
              <w:right w:val="single" w:sz="4" w:space="0" w:color="auto"/>
            </w:tcBorders>
            <w:shd w:val="clear" w:color="auto" w:fill="auto"/>
            <w:noWrap/>
            <w:vAlign w:val="bottom"/>
            <w:hideMark/>
          </w:tcPr>
          <w:p w14:paraId="1A42BAD2"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45,6%</w:t>
            </w:r>
          </w:p>
        </w:tc>
        <w:tc>
          <w:tcPr>
            <w:tcW w:w="941" w:type="dxa"/>
            <w:tcBorders>
              <w:top w:val="nil"/>
              <w:left w:val="single" w:sz="4" w:space="0" w:color="auto"/>
              <w:bottom w:val="nil"/>
              <w:right w:val="single" w:sz="4" w:space="0" w:color="auto"/>
            </w:tcBorders>
            <w:shd w:val="clear" w:color="auto" w:fill="auto"/>
            <w:noWrap/>
            <w:vAlign w:val="bottom"/>
            <w:hideMark/>
          </w:tcPr>
          <w:p w14:paraId="0D05BD52"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8,1%</w:t>
            </w:r>
          </w:p>
        </w:tc>
        <w:tc>
          <w:tcPr>
            <w:tcW w:w="960" w:type="dxa"/>
            <w:tcBorders>
              <w:top w:val="nil"/>
              <w:left w:val="single" w:sz="4" w:space="0" w:color="auto"/>
              <w:bottom w:val="nil"/>
              <w:right w:val="single" w:sz="4" w:space="0" w:color="auto"/>
            </w:tcBorders>
            <w:shd w:val="clear" w:color="auto" w:fill="auto"/>
            <w:noWrap/>
            <w:vAlign w:val="bottom"/>
            <w:hideMark/>
          </w:tcPr>
          <w:p w14:paraId="303C9AA7"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-3,2%</w:t>
            </w:r>
          </w:p>
        </w:tc>
      </w:tr>
      <w:tr w:rsidR="008B661A" w:rsidRPr="00526BD6" w14:paraId="5637C52E" w14:textId="77777777" w:rsidTr="008B661A">
        <w:trPr>
          <w:trHeight w:val="255"/>
          <w:jc w:val="center"/>
        </w:trPr>
        <w:tc>
          <w:tcPr>
            <w:tcW w:w="2244" w:type="dxa"/>
            <w:tcBorders>
              <w:top w:val="nil"/>
              <w:left w:val="single" w:sz="4" w:space="0" w:color="auto"/>
              <w:bottom w:val="nil"/>
              <w:right w:val="single" w:sz="4" w:space="0" w:color="auto"/>
            </w:tcBorders>
            <w:shd w:val="clear" w:color="auto" w:fill="auto"/>
            <w:vAlign w:val="bottom"/>
            <w:hideMark/>
          </w:tcPr>
          <w:p w14:paraId="184D2F37"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2</w:t>
            </w:r>
          </w:p>
        </w:tc>
        <w:tc>
          <w:tcPr>
            <w:tcW w:w="719" w:type="dxa"/>
            <w:tcBorders>
              <w:top w:val="nil"/>
              <w:left w:val="single" w:sz="4" w:space="0" w:color="auto"/>
              <w:bottom w:val="nil"/>
              <w:right w:val="single" w:sz="4" w:space="0" w:color="auto"/>
            </w:tcBorders>
            <w:shd w:val="clear" w:color="auto" w:fill="auto"/>
            <w:vAlign w:val="bottom"/>
            <w:hideMark/>
          </w:tcPr>
          <w:p w14:paraId="64190B7F"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6.094</w:t>
            </w:r>
          </w:p>
        </w:tc>
        <w:tc>
          <w:tcPr>
            <w:tcW w:w="719" w:type="dxa"/>
            <w:tcBorders>
              <w:top w:val="nil"/>
              <w:left w:val="single" w:sz="4" w:space="0" w:color="auto"/>
              <w:bottom w:val="nil"/>
              <w:right w:val="single" w:sz="4" w:space="0" w:color="auto"/>
            </w:tcBorders>
            <w:shd w:val="clear" w:color="auto" w:fill="auto"/>
            <w:vAlign w:val="bottom"/>
            <w:hideMark/>
          </w:tcPr>
          <w:p w14:paraId="2FDB0205"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7.704</w:t>
            </w:r>
          </w:p>
        </w:tc>
        <w:tc>
          <w:tcPr>
            <w:tcW w:w="719" w:type="dxa"/>
            <w:tcBorders>
              <w:top w:val="nil"/>
              <w:left w:val="single" w:sz="4" w:space="0" w:color="auto"/>
              <w:bottom w:val="nil"/>
              <w:right w:val="single" w:sz="4" w:space="0" w:color="auto"/>
            </w:tcBorders>
            <w:shd w:val="clear" w:color="auto" w:fill="auto"/>
            <w:vAlign w:val="bottom"/>
            <w:hideMark/>
          </w:tcPr>
          <w:p w14:paraId="7FE94F75"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8.435</w:t>
            </w:r>
          </w:p>
        </w:tc>
        <w:tc>
          <w:tcPr>
            <w:tcW w:w="941" w:type="dxa"/>
            <w:tcBorders>
              <w:top w:val="nil"/>
              <w:left w:val="single" w:sz="4" w:space="0" w:color="auto"/>
              <w:bottom w:val="nil"/>
              <w:right w:val="single" w:sz="4" w:space="0" w:color="auto"/>
            </w:tcBorders>
            <w:shd w:val="clear" w:color="auto" w:fill="auto"/>
            <w:noWrap/>
            <w:vAlign w:val="bottom"/>
            <w:hideMark/>
          </w:tcPr>
          <w:p w14:paraId="349A2CF2"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9,5%</w:t>
            </w:r>
          </w:p>
        </w:tc>
        <w:tc>
          <w:tcPr>
            <w:tcW w:w="941" w:type="dxa"/>
            <w:tcBorders>
              <w:top w:val="nil"/>
              <w:left w:val="single" w:sz="4" w:space="0" w:color="auto"/>
              <w:bottom w:val="nil"/>
              <w:right w:val="single" w:sz="4" w:space="0" w:color="auto"/>
            </w:tcBorders>
            <w:shd w:val="clear" w:color="auto" w:fill="auto"/>
            <w:noWrap/>
            <w:vAlign w:val="bottom"/>
            <w:hideMark/>
          </w:tcPr>
          <w:p w14:paraId="19BB1A0E"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38,4%</w:t>
            </w:r>
          </w:p>
        </w:tc>
        <w:tc>
          <w:tcPr>
            <w:tcW w:w="941" w:type="dxa"/>
            <w:tcBorders>
              <w:top w:val="nil"/>
              <w:left w:val="single" w:sz="4" w:space="0" w:color="auto"/>
              <w:bottom w:val="nil"/>
              <w:right w:val="single" w:sz="4" w:space="0" w:color="auto"/>
            </w:tcBorders>
            <w:shd w:val="clear" w:color="auto" w:fill="auto"/>
            <w:noWrap/>
            <w:vAlign w:val="bottom"/>
            <w:hideMark/>
          </w:tcPr>
          <w:p w14:paraId="39E35245"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0,6%</w:t>
            </w:r>
          </w:p>
        </w:tc>
        <w:tc>
          <w:tcPr>
            <w:tcW w:w="960" w:type="dxa"/>
            <w:tcBorders>
              <w:top w:val="nil"/>
              <w:left w:val="single" w:sz="4" w:space="0" w:color="auto"/>
              <w:bottom w:val="nil"/>
              <w:right w:val="single" w:sz="4" w:space="0" w:color="auto"/>
            </w:tcBorders>
            <w:shd w:val="clear" w:color="auto" w:fill="auto"/>
            <w:noWrap/>
            <w:vAlign w:val="bottom"/>
            <w:hideMark/>
          </w:tcPr>
          <w:p w14:paraId="60D7E9F8"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-8,0%</w:t>
            </w:r>
          </w:p>
        </w:tc>
      </w:tr>
      <w:tr w:rsidR="008B661A" w:rsidRPr="00526BD6" w14:paraId="4ECED89B" w14:textId="77777777" w:rsidTr="008B661A">
        <w:trPr>
          <w:trHeight w:val="255"/>
          <w:jc w:val="center"/>
        </w:trPr>
        <w:tc>
          <w:tcPr>
            <w:tcW w:w="2244" w:type="dxa"/>
            <w:tcBorders>
              <w:top w:val="nil"/>
              <w:left w:val="single" w:sz="4" w:space="0" w:color="auto"/>
              <w:bottom w:val="nil"/>
              <w:right w:val="single" w:sz="4" w:space="0" w:color="auto"/>
            </w:tcBorders>
            <w:shd w:val="clear" w:color="auto" w:fill="auto"/>
            <w:vAlign w:val="bottom"/>
            <w:hideMark/>
          </w:tcPr>
          <w:p w14:paraId="349459BE"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3</w:t>
            </w:r>
          </w:p>
        </w:tc>
        <w:tc>
          <w:tcPr>
            <w:tcW w:w="719" w:type="dxa"/>
            <w:tcBorders>
              <w:top w:val="nil"/>
              <w:left w:val="single" w:sz="4" w:space="0" w:color="auto"/>
              <w:bottom w:val="nil"/>
              <w:right w:val="single" w:sz="4" w:space="0" w:color="auto"/>
            </w:tcBorders>
            <w:shd w:val="clear" w:color="auto" w:fill="auto"/>
            <w:vAlign w:val="bottom"/>
            <w:hideMark/>
          </w:tcPr>
          <w:p w14:paraId="3A43944F"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9.199</w:t>
            </w:r>
          </w:p>
        </w:tc>
        <w:tc>
          <w:tcPr>
            <w:tcW w:w="719" w:type="dxa"/>
            <w:tcBorders>
              <w:top w:val="nil"/>
              <w:left w:val="single" w:sz="4" w:space="0" w:color="auto"/>
              <w:bottom w:val="nil"/>
              <w:right w:val="single" w:sz="4" w:space="0" w:color="auto"/>
            </w:tcBorders>
            <w:shd w:val="clear" w:color="auto" w:fill="auto"/>
            <w:vAlign w:val="bottom"/>
            <w:hideMark/>
          </w:tcPr>
          <w:p w14:paraId="4D9D5CB6"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11.600</w:t>
            </w:r>
          </w:p>
        </w:tc>
        <w:tc>
          <w:tcPr>
            <w:tcW w:w="719" w:type="dxa"/>
            <w:tcBorders>
              <w:top w:val="nil"/>
              <w:left w:val="single" w:sz="4" w:space="0" w:color="auto"/>
              <w:bottom w:val="nil"/>
              <w:right w:val="single" w:sz="4" w:space="0" w:color="auto"/>
            </w:tcBorders>
            <w:shd w:val="clear" w:color="auto" w:fill="auto"/>
            <w:vAlign w:val="bottom"/>
            <w:hideMark/>
          </w:tcPr>
          <w:p w14:paraId="28FA8CEF"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12.760</w:t>
            </w:r>
          </w:p>
        </w:tc>
        <w:tc>
          <w:tcPr>
            <w:tcW w:w="941" w:type="dxa"/>
            <w:tcBorders>
              <w:top w:val="nil"/>
              <w:left w:val="single" w:sz="4" w:space="0" w:color="auto"/>
              <w:bottom w:val="nil"/>
              <w:right w:val="single" w:sz="4" w:space="0" w:color="auto"/>
            </w:tcBorders>
            <w:shd w:val="clear" w:color="auto" w:fill="auto"/>
            <w:noWrap/>
            <w:vAlign w:val="bottom"/>
            <w:hideMark/>
          </w:tcPr>
          <w:p w14:paraId="2EFD65FF"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10,0%</w:t>
            </w:r>
          </w:p>
        </w:tc>
        <w:tc>
          <w:tcPr>
            <w:tcW w:w="941" w:type="dxa"/>
            <w:tcBorders>
              <w:top w:val="nil"/>
              <w:left w:val="single" w:sz="4" w:space="0" w:color="auto"/>
              <w:bottom w:val="nil"/>
              <w:right w:val="single" w:sz="4" w:space="0" w:color="auto"/>
            </w:tcBorders>
            <w:shd w:val="clear" w:color="auto" w:fill="auto"/>
            <w:noWrap/>
            <w:vAlign w:val="bottom"/>
            <w:hideMark/>
          </w:tcPr>
          <w:p w14:paraId="4A3EB1D1"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38,7%</w:t>
            </w:r>
          </w:p>
        </w:tc>
        <w:tc>
          <w:tcPr>
            <w:tcW w:w="941" w:type="dxa"/>
            <w:tcBorders>
              <w:top w:val="nil"/>
              <w:left w:val="single" w:sz="4" w:space="0" w:color="auto"/>
              <w:bottom w:val="nil"/>
              <w:right w:val="single" w:sz="4" w:space="0" w:color="auto"/>
            </w:tcBorders>
            <w:shd w:val="clear" w:color="auto" w:fill="auto"/>
            <w:noWrap/>
            <w:vAlign w:val="bottom"/>
            <w:hideMark/>
          </w:tcPr>
          <w:p w14:paraId="62387205"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1,1%</w:t>
            </w:r>
          </w:p>
        </w:tc>
        <w:tc>
          <w:tcPr>
            <w:tcW w:w="960" w:type="dxa"/>
            <w:tcBorders>
              <w:top w:val="nil"/>
              <w:left w:val="single" w:sz="4" w:space="0" w:color="auto"/>
              <w:bottom w:val="nil"/>
              <w:right w:val="single" w:sz="4" w:space="0" w:color="auto"/>
            </w:tcBorders>
            <w:shd w:val="clear" w:color="auto" w:fill="auto"/>
            <w:noWrap/>
            <w:vAlign w:val="bottom"/>
            <w:hideMark/>
          </w:tcPr>
          <w:p w14:paraId="2A7B1484"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-7,8%</w:t>
            </w:r>
          </w:p>
        </w:tc>
      </w:tr>
      <w:tr w:rsidR="008B661A" w:rsidRPr="00526BD6" w14:paraId="40863D48" w14:textId="77777777" w:rsidTr="008B661A">
        <w:trPr>
          <w:trHeight w:val="255"/>
          <w:jc w:val="center"/>
        </w:trPr>
        <w:tc>
          <w:tcPr>
            <w:tcW w:w="2244" w:type="dxa"/>
            <w:tcBorders>
              <w:top w:val="nil"/>
              <w:left w:val="single" w:sz="4" w:space="0" w:color="auto"/>
              <w:bottom w:val="nil"/>
              <w:right w:val="single" w:sz="4" w:space="0" w:color="auto"/>
            </w:tcBorders>
            <w:shd w:val="clear" w:color="auto" w:fill="auto"/>
            <w:vAlign w:val="bottom"/>
            <w:hideMark/>
          </w:tcPr>
          <w:p w14:paraId="7058852D"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4</w:t>
            </w:r>
          </w:p>
        </w:tc>
        <w:tc>
          <w:tcPr>
            <w:tcW w:w="719" w:type="dxa"/>
            <w:tcBorders>
              <w:top w:val="nil"/>
              <w:left w:val="single" w:sz="4" w:space="0" w:color="auto"/>
              <w:bottom w:val="nil"/>
              <w:right w:val="single" w:sz="4" w:space="0" w:color="auto"/>
            </w:tcBorders>
            <w:shd w:val="clear" w:color="auto" w:fill="auto"/>
            <w:vAlign w:val="bottom"/>
            <w:hideMark/>
          </w:tcPr>
          <w:p w14:paraId="0EFA0B82"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12.348</w:t>
            </w:r>
          </w:p>
        </w:tc>
        <w:tc>
          <w:tcPr>
            <w:tcW w:w="719" w:type="dxa"/>
            <w:tcBorders>
              <w:top w:val="nil"/>
              <w:left w:val="single" w:sz="4" w:space="0" w:color="auto"/>
              <w:bottom w:val="nil"/>
              <w:right w:val="single" w:sz="4" w:space="0" w:color="auto"/>
            </w:tcBorders>
            <w:shd w:val="clear" w:color="auto" w:fill="auto"/>
            <w:vAlign w:val="bottom"/>
            <w:hideMark/>
          </w:tcPr>
          <w:p w14:paraId="29982CF4"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15.976</w:t>
            </w:r>
          </w:p>
        </w:tc>
        <w:tc>
          <w:tcPr>
            <w:tcW w:w="719" w:type="dxa"/>
            <w:tcBorders>
              <w:top w:val="nil"/>
              <w:left w:val="single" w:sz="4" w:space="0" w:color="auto"/>
              <w:bottom w:val="nil"/>
              <w:right w:val="single" w:sz="4" w:space="0" w:color="auto"/>
            </w:tcBorders>
            <w:shd w:val="clear" w:color="auto" w:fill="auto"/>
            <w:vAlign w:val="bottom"/>
            <w:hideMark/>
          </w:tcPr>
          <w:p w14:paraId="4E01655B"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17.333</w:t>
            </w:r>
          </w:p>
        </w:tc>
        <w:tc>
          <w:tcPr>
            <w:tcW w:w="941" w:type="dxa"/>
            <w:tcBorders>
              <w:top w:val="nil"/>
              <w:left w:val="single" w:sz="4" w:space="0" w:color="auto"/>
              <w:bottom w:val="nil"/>
              <w:right w:val="single" w:sz="4" w:space="0" w:color="auto"/>
            </w:tcBorders>
            <w:shd w:val="clear" w:color="auto" w:fill="auto"/>
            <w:noWrap/>
            <w:vAlign w:val="bottom"/>
            <w:hideMark/>
          </w:tcPr>
          <w:p w14:paraId="269A304C"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8,5%</w:t>
            </w:r>
          </w:p>
        </w:tc>
        <w:tc>
          <w:tcPr>
            <w:tcW w:w="941" w:type="dxa"/>
            <w:tcBorders>
              <w:top w:val="nil"/>
              <w:left w:val="single" w:sz="4" w:space="0" w:color="auto"/>
              <w:bottom w:val="nil"/>
              <w:right w:val="single" w:sz="4" w:space="0" w:color="auto"/>
            </w:tcBorders>
            <w:shd w:val="clear" w:color="auto" w:fill="auto"/>
            <w:noWrap/>
            <w:vAlign w:val="bottom"/>
            <w:hideMark/>
          </w:tcPr>
          <w:p w14:paraId="043B9E18"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40,4%</w:t>
            </w:r>
          </w:p>
        </w:tc>
        <w:tc>
          <w:tcPr>
            <w:tcW w:w="941" w:type="dxa"/>
            <w:tcBorders>
              <w:top w:val="nil"/>
              <w:left w:val="single" w:sz="4" w:space="0" w:color="auto"/>
              <w:bottom w:val="nil"/>
              <w:right w:val="single" w:sz="4" w:space="0" w:color="auto"/>
            </w:tcBorders>
            <w:shd w:val="clear" w:color="auto" w:fill="auto"/>
            <w:noWrap/>
            <w:vAlign w:val="bottom"/>
            <w:hideMark/>
          </w:tcPr>
          <w:p w14:paraId="7E2CA0F5"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-0,3%</w:t>
            </w:r>
          </w:p>
        </w:tc>
        <w:tc>
          <w:tcPr>
            <w:tcW w:w="960" w:type="dxa"/>
            <w:tcBorders>
              <w:top w:val="nil"/>
              <w:left w:val="single" w:sz="4" w:space="0" w:color="auto"/>
              <w:bottom w:val="nil"/>
              <w:right w:val="single" w:sz="4" w:space="0" w:color="auto"/>
            </w:tcBorders>
            <w:shd w:val="clear" w:color="auto" w:fill="auto"/>
            <w:noWrap/>
            <w:vAlign w:val="bottom"/>
            <w:hideMark/>
          </w:tcPr>
          <w:p w14:paraId="1127D796"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-6,7%</w:t>
            </w:r>
          </w:p>
        </w:tc>
      </w:tr>
      <w:tr w:rsidR="008B661A" w:rsidRPr="00526BD6" w14:paraId="20CF5BC3" w14:textId="77777777" w:rsidTr="008B661A">
        <w:trPr>
          <w:trHeight w:val="255"/>
          <w:jc w:val="center"/>
        </w:trPr>
        <w:tc>
          <w:tcPr>
            <w:tcW w:w="2244" w:type="dxa"/>
            <w:tcBorders>
              <w:top w:val="nil"/>
              <w:left w:val="single" w:sz="4" w:space="0" w:color="auto"/>
              <w:bottom w:val="nil"/>
              <w:right w:val="single" w:sz="4" w:space="0" w:color="auto"/>
            </w:tcBorders>
            <w:shd w:val="clear" w:color="auto" w:fill="auto"/>
            <w:vAlign w:val="bottom"/>
            <w:hideMark/>
          </w:tcPr>
          <w:p w14:paraId="78E9B7F0"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5</w:t>
            </w:r>
          </w:p>
        </w:tc>
        <w:tc>
          <w:tcPr>
            <w:tcW w:w="719" w:type="dxa"/>
            <w:tcBorders>
              <w:top w:val="nil"/>
              <w:left w:val="single" w:sz="4" w:space="0" w:color="auto"/>
              <w:bottom w:val="nil"/>
              <w:right w:val="single" w:sz="4" w:space="0" w:color="auto"/>
            </w:tcBorders>
            <w:shd w:val="clear" w:color="auto" w:fill="auto"/>
            <w:vAlign w:val="bottom"/>
            <w:hideMark/>
          </w:tcPr>
          <w:p w14:paraId="394268A6"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15.558</w:t>
            </w:r>
          </w:p>
        </w:tc>
        <w:tc>
          <w:tcPr>
            <w:tcW w:w="719" w:type="dxa"/>
            <w:tcBorders>
              <w:top w:val="nil"/>
              <w:left w:val="single" w:sz="4" w:space="0" w:color="auto"/>
              <w:bottom w:val="nil"/>
              <w:right w:val="single" w:sz="4" w:space="0" w:color="auto"/>
            </w:tcBorders>
            <w:shd w:val="clear" w:color="auto" w:fill="auto"/>
            <w:vAlign w:val="bottom"/>
            <w:hideMark/>
          </w:tcPr>
          <w:p w14:paraId="43B588E3"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20.055</w:t>
            </w:r>
          </w:p>
        </w:tc>
        <w:tc>
          <w:tcPr>
            <w:tcW w:w="719" w:type="dxa"/>
            <w:tcBorders>
              <w:top w:val="nil"/>
              <w:left w:val="single" w:sz="4" w:space="0" w:color="auto"/>
              <w:bottom w:val="nil"/>
              <w:right w:val="single" w:sz="4" w:space="0" w:color="auto"/>
            </w:tcBorders>
            <w:shd w:val="clear" w:color="auto" w:fill="auto"/>
            <w:vAlign w:val="bottom"/>
            <w:hideMark/>
          </w:tcPr>
          <w:p w14:paraId="26514B7A"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21.038</w:t>
            </w:r>
          </w:p>
        </w:tc>
        <w:tc>
          <w:tcPr>
            <w:tcW w:w="941" w:type="dxa"/>
            <w:tcBorders>
              <w:top w:val="nil"/>
              <w:left w:val="single" w:sz="4" w:space="0" w:color="auto"/>
              <w:bottom w:val="nil"/>
              <w:right w:val="single" w:sz="4" w:space="0" w:color="auto"/>
            </w:tcBorders>
            <w:shd w:val="clear" w:color="auto" w:fill="auto"/>
            <w:noWrap/>
            <w:vAlign w:val="bottom"/>
            <w:hideMark/>
          </w:tcPr>
          <w:p w14:paraId="17C94716"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4,9%</w:t>
            </w:r>
          </w:p>
        </w:tc>
        <w:tc>
          <w:tcPr>
            <w:tcW w:w="941" w:type="dxa"/>
            <w:tcBorders>
              <w:top w:val="nil"/>
              <w:left w:val="single" w:sz="4" w:space="0" w:color="auto"/>
              <w:bottom w:val="nil"/>
              <w:right w:val="single" w:sz="4" w:space="0" w:color="auto"/>
            </w:tcBorders>
            <w:shd w:val="clear" w:color="auto" w:fill="auto"/>
            <w:noWrap/>
            <w:vAlign w:val="bottom"/>
            <w:hideMark/>
          </w:tcPr>
          <w:p w14:paraId="1FB8E093"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35,2%</w:t>
            </w:r>
          </w:p>
        </w:tc>
        <w:tc>
          <w:tcPr>
            <w:tcW w:w="941" w:type="dxa"/>
            <w:tcBorders>
              <w:top w:val="nil"/>
              <w:left w:val="single" w:sz="4" w:space="0" w:color="auto"/>
              <w:bottom w:val="nil"/>
              <w:right w:val="single" w:sz="4" w:space="0" w:color="auto"/>
            </w:tcBorders>
            <w:shd w:val="clear" w:color="auto" w:fill="auto"/>
            <w:noWrap/>
            <w:vAlign w:val="bottom"/>
            <w:hideMark/>
          </w:tcPr>
          <w:p w14:paraId="128C291E"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-3,6%</w:t>
            </w:r>
          </w:p>
        </w:tc>
        <w:tc>
          <w:tcPr>
            <w:tcW w:w="960" w:type="dxa"/>
            <w:tcBorders>
              <w:top w:val="nil"/>
              <w:left w:val="single" w:sz="4" w:space="0" w:color="auto"/>
              <w:bottom w:val="nil"/>
              <w:right w:val="single" w:sz="4" w:space="0" w:color="auto"/>
            </w:tcBorders>
            <w:shd w:val="clear" w:color="auto" w:fill="auto"/>
            <w:noWrap/>
            <w:vAlign w:val="bottom"/>
            <w:hideMark/>
          </w:tcPr>
          <w:p w14:paraId="261222D7"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-10,1%</w:t>
            </w:r>
          </w:p>
        </w:tc>
      </w:tr>
      <w:tr w:rsidR="008B661A" w:rsidRPr="00526BD6" w14:paraId="1B8D9360" w14:textId="77777777" w:rsidTr="008B661A">
        <w:trPr>
          <w:trHeight w:val="255"/>
          <w:jc w:val="center"/>
        </w:trPr>
        <w:tc>
          <w:tcPr>
            <w:tcW w:w="2244" w:type="dxa"/>
            <w:tcBorders>
              <w:top w:val="nil"/>
              <w:left w:val="single" w:sz="4" w:space="0" w:color="auto"/>
              <w:bottom w:val="nil"/>
              <w:right w:val="single" w:sz="4" w:space="0" w:color="auto"/>
            </w:tcBorders>
            <w:shd w:val="clear" w:color="auto" w:fill="auto"/>
            <w:vAlign w:val="bottom"/>
            <w:hideMark/>
          </w:tcPr>
          <w:p w14:paraId="4E001085"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6</w:t>
            </w:r>
          </w:p>
        </w:tc>
        <w:tc>
          <w:tcPr>
            <w:tcW w:w="719" w:type="dxa"/>
            <w:tcBorders>
              <w:top w:val="nil"/>
              <w:left w:val="single" w:sz="4" w:space="0" w:color="auto"/>
              <w:bottom w:val="nil"/>
              <w:right w:val="single" w:sz="4" w:space="0" w:color="auto"/>
            </w:tcBorders>
            <w:shd w:val="clear" w:color="auto" w:fill="auto"/>
            <w:vAlign w:val="bottom"/>
            <w:hideMark/>
          </w:tcPr>
          <w:p w14:paraId="73869F7F"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19.048</w:t>
            </w:r>
          </w:p>
        </w:tc>
        <w:tc>
          <w:tcPr>
            <w:tcW w:w="719" w:type="dxa"/>
            <w:tcBorders>
              <w:top w:val="nil"/>
              <w:left w:val="single" w:sz="4" w:space="0" w:color="auto"/>
              <w:bottom w:val="nil"/>
              <w:right w:val="single" w:sz="4" w:space="0" w:color="auto"/>
            </w:tcBorders>
            <w:shd w:val="clear" w:color="auto" w:fill="auto"/>
            <w:vAlign w:val="bottom"/>
            <w:hideMark/>
          </w:tcPr>
          <w:p w14:paraId="0EA1BB88"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24.465</w:t>
            </w:r>
          </w:p>
        </w:tc>
        <w:tc>
          <w:tcPr>
            <w:tcW w:w="719" w:type="dxa"/>
            <w:tcBorders>
              <w:top w:val="nil"/>
              <w:left w:val="single" w:sz="4" w:space="0" w:color="auto"/>
              <w:bottom w:val="nil"/>
              <w:right w:val="single" w:sz="4" w:space="0" w:color="auto"/>
            </w:tcBorders>
            <w:shd w:val="clear" w:color="auto" w:fill="auto"/>
            <w:vAlign w:val="bottom"/>
            <w:hideMark/>
          </w:tcPr>
          <w:p w14:paraId="6DA41590"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25.968</w:t>
            </w:r>
          </w:p>
        </w:tc>
        <w:tc>
          <w:tcPr>
            <w:tcW w:w="941" w:type="dxa"/>
            <w:tcBorders>
              <w:top w:val="nil"/>
              <w:left w:val="single" w:sz="4" w:space="0" w:color="auto"/>
              <w:bottom w:val="nil"/>
              <w:right w:val="single" w:sz="4" w:space="0" w:color="auto"/>
            </w:tcBorders>
            <w:shd w:val="clear" w:color="auto" w:fill="auto"/>
            <w:noWrap/>
            <w:vAlign w:val="bottom"/>
            <w:hideMark/>
          </w:tcPr>
          <w:p w14:paraId="4ADC2841"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6,1%</w:t>
            </w:r>
          </w:p>
        </w:tc>
        <w:tc>
          <w:tcPr>
            <w:tcW w:w="941" w:type="dxa"/>
            <w:tcBorders>
              <w:top w:val="nil"/>
              <w:left w:val="single" w:sz="4" w:space="0" w:color="auto"/>
              <w:bottom w:val="nil"/>
              <w:right w:val="single" w:sz="4" w:space="0" w:color="auto"/>
            </w:tcBorders>
            <w:shd w:val="clear" w:color="auto" w:fill="auto"/>
            <w:noWrap/>
            <w:vAlign w:val="bottom"/>
            <w:hideMark/>
          </w:tcPr>
          <w:p w14:paraId="7B0111AA"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36,3%</w:t>
            </w:r>
          </w:p>
        </w:tc>
        <w:tc>
          <w:tcPr>
            <w:tcW w:w="941" w:type="dxa"/>
            <w:tcBorders>
              <w:top w:val="nil"/>
              <w:left w:val="single" w:sz="4" w:space="0" w:color="auto"/>
              <w:bottom w:val="nil"/>
              <w:right w:val="single" w:sz="4" w:space="0" w:color="auto"/>
            </w:tcBorders>
            <w:shd w:val="clear" w:color="auto" w:fill="auto"/>
            <w:noWrap/>
            <w:vAlign w:val="bottom"/>
            <w:hideMark/>
          </w:tcPr>
          <w:p w14:paraId="730F8E9B"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-2,5%</w:t>
            </w:r>
          </w:p>
        </w:tc>
        <w:tc>
          <w:tcPr>
            <w:tcW w:w="960" w:type="dxa"/>
            <w:tcBorders>
              <w:top w:val="nil"/>
              <w:left w:val="single" w:sz="4" w:space="0" w:color="auto"/>
              <w:bottom w:val="nil"/>
              <w:right w:val="single" w:sz="4" w:space="0" w:color="auto"/>
            </w:tcBorders>
            <w:shd w:val="clear" w:color="auto" w:fill="auto"/>
            <w:noWrap/>
            <w:vAlign w:val="bottom"/>
            <w:hideMark/>
          </w:tcPr>
          <w:p w14:paraId="36DEC738"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-9,4%</w:t>
            </w:r>
          </w:p>
        </w:tc>
      </w:tr>
      <w:tr w:rsidR="008B661A" w:rsidRPr="00526BD6" w14:paraId="5AE8644D" w14:textId="77777777" w:rsidTr="008B661A">
        <w:trPr>
          <w:trHeight w:val="255"/>
          <w:jc w:val="center"/>
        </w:trPr>
        <w:tc>
          <w:tcPr>
            <w:tcW w:w="2244" w:type="dxa"/>
            <w:tcBorders>
              <w:top w:val="nil"/>
              <w:left w:val="single" w:sz="4" w:space="0" w:color="auto"/>
              <w:bottom w:val="nil"/>
              <w:right w:val="single" w:sz="4" w:space="0" w:color="auto"/>
            </w:tcBorders>
            <w:shd w:val="clear" w:color="auto" w:fill="auto"/>
            <w:vAlign w:val="bottom"/>
            <w:hideMark/>
          </w:tcPr>
          <w:p w14:paraId="215B9029"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7</w:t>
            </w:r>
          </w:p>
        </w:tc>
        <w:tc>
          <w:tcPr>
            <w:tcW w:w="719" w:type="dxa"/>
            <w:tcBorders>
              <w:top w:val="nil"/>
              <w:left w:val="single" w:sz="4" w:space="0" w:color="auto"/>
              <w:bottom w:val="nil"/>
              <w:right w:val="single" w:sz="4" w:space="0" w:color="auto"/>
            </w:tcBorders>
            <w:shd w:val="clear" w:color="auto" w:fill="auto"/>
            <w:vAlign w:val="bottom"/>
            <w:hideMark/>
          </w:tcPr>
          <w:p w14:paraId="50B636E8"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21.853</w:t>
            </w:r>
          </w:p>
        </w:tc>
        <w:tc>
          <w:tcPr>
            <w:tcW w:w="719" w:type="dxa"/>
            <w:tcBorders>
              <w:top w:val="nil"/>
              <w:left w:val="single" w:sz="4" w:space="0" w:color="auto"/>
              <w:bottom w:val="nil"/>
              <w:right w:val="single" w:sz="4" w:space="0" w:color="auto"/>
            </w:tcBorders>
            <w:shd w:val="clear" w:color="auto" w:fill="auto"/>
            <w:vAlign w:val="bottom"/>
            <w:hideMark/>
          </w:tcPr>
          <w:p w14:paraId="79653D17"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29.324</w:t>
            </w:r>
          </w:p>
        </w:tc>
        <w:tc>
          <w:tcPr>
            <w:tcW w:w="719" w:type="dxa"/>
            <w:tcBorders>
              <w:top w:val="nil"/>
              <w:left w:val="single" w:sz="4" w:space="0" w:color="auto"/>
              <w:bottom w:val="nil"/>
              <w:right w:val="single" w:sz="4" w:space="0" w:color="auto"/>
            </w:tcBorders>
            <w:shd w:val="clear" w:color="auto" w:fill="auto"/>
            <w:vAlign w:val="bottom"/>
            <w:hideMark/>
          </w:tcPr>
          <w:p w14:paraId="3BE5A141"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30.348</w:t>
            </w:r>
          </w:p>
        </w:tc>
        <w:tc>
          <w:tcPr>
            <w:tcW w:w="941" w:type="dxa"/>
            <w:tcBorders>
              <w:top w:val="nil"/>
              <w:left w:val="single" w:sz="4" w:space="0" w:color="auto"/>
              <w:bottom w:val="nil"/>
              <w:right w:val="single" w:sz="4" w:space="0" w:color="auto"/>
            </w:tcBorders>
            <w:shd w:val="clear" w:color="auto" w:fill="auto"/>
            <w:noWrap/>
            <w:vAlign w:val="bottom"/>
            <w:hideMark/>
          </w:tcPr>
          <w:p w14:paraId="736804DD"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3,5%</w:t>
            </w:r>
          </w:p>
        </w:tc>
        <w:tc>
          <w:tcPr>
            <w:tcW w:w="941" w:type="dxa"/>
            <w:tcBorders>
              <w:top w:val="nil"/>
              <w:left w:val="single" w:sz="4" w:space="0" w:color="auto"/>
              <w:bottom w:val="nil"/>
              <w:right w:val="single" w:sz="4" w:space="0" w:color="auto"/>
            </w:tcBorders>
            <w:shd w:val="clear" w:color="auto" w:fill="auto"/>
            <w:noWrap/>
            <w:vAlign w:val="bottom"/>
            <w:hideMark/>
          </w:tcPr>
          <w:p w14:paraId="788F92B6"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38,9%</w:t>
            </w:r>
          </w:p>
        </w:tc>
        <w:tc>
          <w:tcPr>
            <w:tcW w:w="941" w:type="dxa"/>
            <w:tcBorders>
              <w:top w:val="nil"/>
              <w:left w:val="single" w:sz="4" w:space="0" w:color="auto"/>
              <w:bottom w:val="nil"/>
              <w:right w:val="single" w:sz="4" w:space="0" w:color="auto"/>
            </w:tcBorders>
            <w:shd w:val="clear" w:color="auto" w:fill="auto"/>
            <w:noWrap/>
            <w:vAlign w:val="bottom"/>
            <w:hideMark/>
          </w:tcPr>
          <w:p w14:paraId="36FC36D8"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-4,9%</w:t>
            </w:r>
          </w:p>
        </w:tc>
        <w:tc>
          <w:tcPr>
            <w:tcW w:w="960" w:type="dxa"/>
            <w:tcBorders>
              <w:top w:val="nil"/>
              <w:left w:val="single" w:sz="4" w:space="0" w:color="auto"/>
              <w:bottom w:val="nil"/>
              <w:right w:val="single" w:sz="4" w:space="0" w:color="auto"/>
            </w:tcBorders>
            <w:shd w:val="clear" w:color="auto" w:fill="auto"/>
            <w:noWrap/>
            <w:vAlign w:val="bottom"/>
            <w:hideMark/>
          </w:tcPr>
          <w:p w14:paraId="04D0D783"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-7,7%</w:t>
            </w:r>
          </w:p>
        </w:tc>
      </w:tr>
      <w:tr w:rsidR="008B661A" w:rsidRPr="00526BD6" w14:paraId="40220E8A" w14:textId="77777777" w:rsidTr="008B661A">
        <w:trPr>
          <w:trHeight w:val="255"/>
          <w:jc w:val="center"/>
        </w:trPr>
        <w:tc>
          <w:tcPr>
            <w:tcW w:w="2244" w:type="dxa"/>
            <w:tcBorders>
              <w:top w:val="nil"/>
              <w:left w:val="single" w:sz="4" w:space="0" w:color="auto"/>
              <w:bottom w:val="nil"/>
              <w:right w:val="single" w:sz="4" w:space="0" w:color="auto"/>
            </w:tcBorders>
            <w:shd w:val="clear" w:color="auto" w:fill="auto"/>
            <w:vAlign w:val="bottom"/>
            <w:hideMark/>
          </w:tcPr>
          <w:p w14:paraId="205CC227"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8</w:t>
            </w:r>
          </w:p>
        </w:tc>
        <w:tc>
          <w:tcPr>
            <w:tcW w:w="719" w:type="dxa"/>
            <w:tcBorders>
              <w:top w:val="nil"/>
              <w:left w:val="single" w:sz="4" w:space="0" w:color="auto"/>
              <w:bottom w:val="nil"/>
              <w:right w:val="single" w:sz="4" w:space="0" w:color="auto"/>
            </w:tcBorders>
            <w:shd w:val="clear" w:color="auto" w:fill="auto"/>
            <w:vAlign w:val="bottom"/>
            <w:hideMark/>
          </w:tcPr>
          <w:p w14:paraId="21912664"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26.592</w:t>
            </w:r>
          </w:p>
        </w:tc>
        <w:tc>
          <w:tcPr>
            <w:tcW w:w="719" w:type="dxa"/>
            <w:tcBorders>
              <w:top w:val="nil"/>
              <w:left w:val="single" w:sz="4" w:space="0" w:color="auto"/>
              <w:bottom w:val="nil"/>
              <w:right w:val="single" w:sz="4" w:space="0" w:color="auto"/>
            </w:tcBorders>
            <w:shd w:val="clear" w:color="auto" w:fill="auto"/>
            <w:vAlign w:val="bottom"/>
            <w:hideMark/>
          </w:tcPr>
          <w:p w14:paraId="587A8419"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33.800</w:t>
            </w:r>
          </w:p>
        </w:tc>
        <w:tc>
          <w:tcPr>
            <w:tcW w:w="719" w:type="dxa"/>
            <w:tcBorders>
              <w:top w:val="nil"/>
              <w:left w:val="single" w:sz="4" w:space="0" w:color="auto"/>
              <w:bottom w:val="nil"/>
              <w:right w:val="single" w:sz="4" w:space="0" w:color="auto"/>
            </w:tcBorders>
            <w:shd w:val="clear" w:color="auto" w:fill="auto"/>
            <w:vAlign w:val="bottom"/>
            <w:hideMark/>
          </w:tcPr>
          <w:p w14:paraId="6F2A8EA4"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36.968</w:t>
            </w:r>
          </w:p>
        </w:tc>
        <w:tc>
          <w:tcPr>
            <w:tcW w:w="941" w:type="dxa"/>
            <w:tcBorders>
              <w:top w:val="nil"/>
              <w:left w:val="single" w:sz="4" w:space="0" w:color="auto"/>
              <w:bottom w:val="nil"/>
              <w:right w:val="single" w:sz="4" w:space="0" w:color="auto"/>
            </w:tcBorders>
            <w:shd w:val="clear" w:color="auto" w:fill="auto"/>
            <w:noWrap/>
            <w:vAlign w:val="bottom"/>
            <w:hideMark/>
          </w:tcPr>
          <w:p w14:paraId="4EAF286E"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9,4%</w:t>
            </w:r>
          </w:p>
        </w:tc>
        <w:tc>
          <w:tcPr>
            <w:tcW w:w="941" w:type="dxa"/>
            <w:tcBorders>
              <w:top w:val="nil"/>
              <w:left w:val="single" w:sz="4" w:space="0" w:color="auto"/>
              <w:bottom w:val="nil"/>
              <w:right w:val="single" w:sz="4" w:space="0" w:color="auto"/>
            </w:tcBorders>
            <w:shd w:val="clear" w:color="auto" w:fill="auto"/>
            <w:noWrap/>
            <w:vAlign w:val="bottom"/>
            <w:hideMark/>
          </w:tcPr>
          <w:p w14:paraId="30AEF1BB"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39,0%</w:t>
            </w:r>
          </w:p>
        </w:tc>
        <w:tc>
          <w:tcPr>
            <w:tcW w:w="941" w:type="dxa"/>
            <w:tcBorders>
              <w:top w:val="nil"/>
              <w:left w:val="single" w:sz="4" w:space="0" w:color="auto"/>
              <w:bottom w:val="nil"/>
              <w:right w:val="single" w:sz="4" w:space="0" w:color="auto"/>
            </w:tcBorders>
            <w:shd w:val="clear" w:color="auto" w:fill="auto"/>
            <w:noWrap/>
            <w:vAlign w:val="bottom"/>
            <w:hideMark/>
          </w:tcPr>
          <w:p w14:paraId="427C70BE"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0,5%</w:t>
            </w:r>
          </w:p>
        </w:tc>
        <w:tc>
          <w:tcPr>
            <w:tcW w:w="960" w:type="dxa"/>
            <w:tcBorders>
              <w:top w:val="nil"/>
              <w:left w:val="single" w:sz="4" w:space="0" w:color="auto"/>
              <w:bottom w:val="nil"/>
              <w:right w:val="single" w:sz="4" w:space="0" w:color="auto"/>
            </w:tcBorders>
            <w:shd w:val="clear" w:color="auto" w:fill="auto"/>
            <w:noWrap/>
            <w:vAlign w:val="bottom"/>
            <w:hideMark/>
          </w:tcPr>
          <w:p w14:paraId="3AFE12BF"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-7,6%</w:t>
            </w:r>
          </w:p>
        </w:tc>
      </w:tr>
      <w:tr w:rsidR="008B661A" w:rsidRPr="00526BD6" w14:paraId="5D89A285" w14:textId="77777777" w:rsidTr="008B661A">
        <w:trPr>
          <w:trHeight w:val="255"/>
          <w:jc w:val="center"/>
        </w:trPr>
        <w:tc>
          <w:tcPr>
            <w:tcW w:w="2244" w:type="dxa"/>
            <w:tcBorders>
              <w:top w:val="nil"/>
              <w:left w:val="single" w:sz="4" w:space="0" w:color="auto"/>
              <w:right w:val="single" w:sz="4" w:space="0" w:color="auto"/>
            </w:tcBorders>
            <w:shd w:val="clear" w:color="auto" w:fill="auto"/>
            <w:vAlign w:val="bottom"/>
            <w:hideMark/>
          </w:tcPr>
          <w:p w14:paraId="7594A636"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9</w:t>
            </w:r>
          </w:p>
        </w:tc>
        <w:tc>
          <w:tcPr>
            <w:tcW w:w="719" w:type="dxa"/>
            <w:tcBorders>
              <w:top w:val="nil"/>
              <w:left w:val="single" w:sz="4" w:space="0" w:color="auto"/>
              <w:right w:val="single" w:sz="4" w:space="0" w:color="auto"/>
            </w:tcBorders>
            <w:shd w:val="clear" w:color="auto" w:fill="auto"/>
            <w:vAlign w:val="bottom"/>
            <w:hideMark/>
          </w:tcPr>
          <w:p w14:paraId="62B95CE7"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32.945</w:t>
            </w:r>
          </w:p>
        </w:tc>
        <w:tc>
          <w:tcPr>
            <w:tcW w:w="719" w:type="dxa"/>
            <w:tcBorders>
              <w:top w:val="nil"/>
              <w:left w:val="single" w:sz="4" w:space="0" w:color="auto"/>
              <w:right w:val="single" w:sz="4" w:space="0" w:color="auto"/>
            </w:tcBorders>
            <w:shd w:val="clear" w:color="auto" w:fill="auto"/>
            <w:vAlign w:val="bottom"/>
            <w:hideMark/>
          </w:tcPr>
          <w:p w14:paraId="7C2DEA59"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43.061</w:t>
            </w:r>
          </w:p>
        </w:tc>
        <w:tc>
          <w:tcPr>
            <w:tcW w:w="719" w:type="dxa"/>
            <w:tcBorders>
              <w:top w:val="nil"/>
              <w:left w:val="single" w:sz="4" w:space="0" w:color="auto"/>
              <w:right w:val="single" w:sz="4" w:space="0" w:color="auto"/>
            </w:tcBorders>
            <w:shd w:val="clear" w:color="auto" w:fill="auto"/>
            <w:vAlign w:val="bottom"/>
            <w:hideMark/>
          </w:tcPr>
          <w:p w14:paraId="08844FC5"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46.036</w:t>
            </w:r>
          </w:p>
        </w:tc>
        <w:tc>
          <w:tcPr>
            <w:tcW w:w="941" w:type="dxa"/>
            <w:tcBorders>
              <w:top w:val="nil"/>
              <w:left w:val="single" w:sz="4" w:space="0" w:color="auto"/>
              <w:right w:val="single" w:sz="4" w:space="0" w:color="auto"/>
            </w:tcBorders>
            <w:shd w:val="clear" w:color="auto" w:fill="auto"/>
            <w:noWrap/>
            <w:vAlign w:val="bottom"/>
            <w:hideMark/>
          </w:tcPr>
          <w:p w14:paraId="56F500B9"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6,9%</w:t>
            </w:r>
          </w:p>
        </w:tc>
        <w:tc>
          <w:tcPr>
            <w:tcW w:w="941" w:type="dxa"/>
            <w:tcBorders>
              <w:top w:val="nil"/>
              <w:left w:val="single" w:sz="4" w:space="0" w:color="auto"/>
              <w:right w:val="single" w:sz="4" w:space="0" w:color="auto"/>
            </w:tcBorders>
            <w:shd w:val="clear" w:color="auto" w:fill="auto"/>
            <w:noWrap/>
            <w:vAlign w:val="bottom"/>
            <w:hideMark/>
          </w:tcPr>
          <w:p w14:paraId="10298FFA"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39,7%</w:t>
            </w:r>
          </w:p>
        </w:tc>
        <w:tc>
          <w:tcPr>
            <w:tcW w:w="941" w:type="dxa"/>
            <w:tcBorders>
              <w:top w:val="nil"/>
              <w:left w:val="single" w:sz="4" w:space="0" w:color="auto"/>
              <w:right w:val="single" w:sz="4" w:space="0" w:color="auto"/>
            </w:tcBorders>
            <w:shd w:val="clear" w:color="auto" w:fill="auto"/>
            <w:noWrap/>
            <w:vAlign w:val="bottom"/>
            <w:hideMark/>
          </w:tcPr>
          <w:p w14:paraId="25852A56"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-1,8%</w:t>
            </w:r>
          </w:p>
        </w:tc>
        <w:tc>
          <w:tcPr>
            <w:tcW w:w="960" w:type="dxa"/>
            <w:tcBorders>
              <w:top w:val="nil"/>
              <w:left w:val="single" w:sz="4" w:space="0" w:color="auto"/>
              <w:right w:val="single" w:sz="4" w:space="0" w:color="auto"/>
            </w:tcBorders>
            <w:shd w:val="clear" w:color="auto" w:fill="auto"/>
            <w:noWrap/>
            <w:vAlign w:val="bottom"/>
            <w:hideMark/>
          </w:tcPr>
          <w:p w14:paraId="00B5E7C8"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-7,1%</w:t>
            </w:r>
          </w:p>
        </w:tc>
      </w:tr>
      <w:tr w:rsidR="008B661A" w:rsidRPr="00526BD6" w14:paraId="1CDF11C7" w14:textId="77777777" w:rsidTr="008B661A">
        <w:trPr>
          <w:trHeight w:val="255"/>
          <w:jc w:val="center"/>
        </w:trPr>
        <w:tc>
          <w:tcPr>
            <w:tcW w:w="2244" w:type="dxa"/>
            <w:tcBorders>
              <w:top w:val="nil"/>
              <w:left w:val="single" w:sz="4" w:space="0" w:color="auto"/>
              <w:right w:val="single" w:sz="4" w:space="0" w:color="auto"/>
            </w:tcBorders>
            <w:shd w:val="clear" w:color="auto" w:fill="auto"/>
            <w:vAlign w:val="bottom"/>
            <w:hideMark/>
          </w:tcPr>
          <w:p w14:paraId="042CB15F" w14:textId="77777777" w:rsidR="00526BD6" w:rsidRPr="00526BD6" w:rsidRDefault="00526BD6" w:rsidP="00526BD6">
            <w:pPr>
              <w:jc w:val="center"/>
              <w:rPr>
                <w:rFonts w:ascii="Arial" w:eastAsia="Times New Roman" w:hAnsi="Arial" w:cs="Arial"/>
                <w:sz w:val="16"/>
                <w:szCs w:val="16"/>
                <w:lang w:eastAsia="es-AR"/>
              </w:rPr>
            </w:pPr>
            <w:r w:rsidRPr="00526BD6">
              <w:rPr>
                <w:rFonts w:ascii="Arial" w:eastAsia="Times New Roman" w:hAnsi="Arial" w:cs="Arial"/>
                <w:sz w:val="16"/>
                <w:szCs w:val="16"/>
                <w:lang w:eastAsia="es-AR"/>
              </w:rPr>
              <w:t>10</w:t>
            </w:r>
          </w:p>
        </w:tc>
        <w:tc>
          <w:tcPr>
            <w:tcW w:w="719" w:type="dxa"/>
            <w:tcBorders>
              <w:top w:val="nil"/>
              <w:left w:val="single" w:sz="4" w:space="0" w:color="auto"/>
              <w:right w:val="single" w:sz="4" w:space="0" w:color="auto"/>
            </w:tcBorders>
            <w:shd w:val="clear" w:color="auto" w:fill="auto"/>
            <w:vAlign w:val="bottom"/>
            <w:hideMark/>
          </w:tcPr>
          <w:p w14:paraId="419D3B6A"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57.844</w:t>
            </w:r>
          </w:p>
        </w:tc>
        <w:tc>
          <w:tcPr>
            <w:tcW w:w="719" w:type="dxa"/>
            <w:tcBorders>
              <w:top w:val="nil"/>
              <w:left w:val="single" w:sz="4" w:space="0" w:color="auto"/>
              <w:right w:val="single" w:sz="4" w:space="0" w:color="auto"/>
            </w:tcBorders>
            <w:shd w:val="clear" w:color="auto" w:fill="auto"/>
            <w:vAlign w:val="bottom"/>
            <w:hideMark/>
          </w:tcPr>
          <w:p w14:paraId="47FD2A4C"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75.417</w:t>
            </w:r>
          </w:p>
        </w:tc>
        <w:tc>
          <w:tcPr>
            <w:tcW w:w="719" w:type="dxa"/>
            <w:tcBorders>
              <w:top w:val="nil"/>
              <w:left w:val="single" w:sz="4" w:space="0" w:color="auto"/>
              <w:right w:val="single" w:sz="4" w:space="0" w:color="auto"/>
            </w:tcBorders>
            <w:shd w:val="clear" w:color="auto" w:fill="auto"/>
            <w:vAlign w:val="bottom"/>
            <w:hideMark/>
          </w:tcPr>
          <w:p w14:paraId="564C88D0"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82.393</w:t>
            </w:r>
          </w:p>
        </w:tc>
        <w:tc>
          <w:tcPr>
            <w:tcW w:w="941" w:type="dxa"/>
            <w:tcBorders>
              <w:top w:val="nil"/>
              <w:left w:val="single" w:sz="4" w:space="0" w:color="auto"/>
              <w:right w:val="single" w:sz="4" w:space="0" w:color="auto"/>
            </w:tcBorders>
            <w:shd w:val="clear" w:color="auto" w:fill="auto"/>
            <w:noWrap/>
            <w:vAlign w:val="bottom"/>
            <w:hideMark/>
          </w:tcPr>
          <w:p w14:paraId="51298048"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9,2%</w:t>
            </w:r>
          </w:p>
        </w:tc>
        <w:tc>
          <w:tcPr>
            <w:tcW w:w="941" w:type="dxa"/>
            <w:tcBorders>
              <w:top w:val="nil"/>
              <w:left w:val="single" w:sz="4" w:space="0" w:color="auto"/>
              <w:right w:val="single" w:sz="4" w:space="0" w:color="auto"/>
            </w:tcBorders>
            <w:shd w:val="clear" w:color="auto" w:fill="auto"/>
            <w:noWrap/>
            <w:vAlign w:val="bottom"/>
            <w:hideMark/>
          </w:tcPr>
          <w:p w14:paraId="402B3980"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42,4%</w:t>
            </w:r>
          </w:p>
        </w:tc>
        <w:tc>
          <w:tcPr>
            <w:tcW w:w="941" w:type="dxa"/>
            <w:tcBorders>
              <w:top w:val="nil"/>
              <w:left w:val="single" w:sz="4" w:space="0" w:color="auto"/>
              <w:right w:val="single" w:sz="4" w:space="0" w:color="auto"/>
            </w:tcBorders>
            <w:shd w:val="clear" w:color="auto" w:fill="auto"/>
            <w:noWrap/>
            <w:vAlign w:val="bottom"/>
            <w:hideMark/>
          </w:tcPr>
          <w:p w14:paraId="5549BA31"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0,4%</w:t>
            </w:r>
          </w:p>
        </w:tc>
        <w:tc>
          <w:tcPr>
            <w:tcW w:w="960" w:type="dxa"/>
            <w:tcBorders>
              <w:top w:val="nil"/>
              <w:left w:val="single" w:sz="4" w:space="0" w:color="auto"/>
              <w:right w:val="single" w:sz="4" w:space="0" w:color="auto"/>
            </w:tcBorders>
            <w:shd w:val="clear" w:color="auto" w:fill="auto"/>
            <w:noWrap/>
            <w:vAlign w:val="bottom"/>
            <w:hideMark/>
          </w:tcPr>
          <w:p w14:paraId="0878C9B6" w14:textId="77777777" w:rsidR="00526BD6" w:rsidRPr="00526BD6" w:rsidRDefault="00526BD6" w:rsidP="00526BD6">
            <w:pPr>
              <w:jc w:val="right"/>
              <w:rPr>
                <w:rFonts w:ascii="Arial" w:eastAsia="Times New Roman" w:hAnsi="Arial" w:cs="Arial"/>
                <w:sz w:val="16"/>
                <w:szCs w:val="16"/>
                <w:lang w:eastAsia="es-AR"/>
              </w:rPr>
            </w:pPr>
            <w:r w:rsidRPr="00526BD6">
              <w:rPr>
                <w:rFonts w:ascii="Arial" w:eastAsia="Times New Roman" w:hAnsi="Arial" w:cs="Arial"/>
                <w:sz w:val="16"/>
                <w:szCs w:val="16"/>
                <w:lang w:eastAsia="es-AR"/>
              </w:rPr>
              <w:t>-5,3%</w:t>
            </w:r>
          </w:p>
        </w:tc>
      </w:tr>
      <w:tr w:rsidR="008B661A" w:rsidRPr="00526BD6" w14:paraId="447F5E9A" w14:textId="77777777" w:rsidTr="008B661A">
        <w:trPr>
          <w:trHeight w:val="234"/>
          <w:jc w:val="center"/>
        </w:trPr>
        <w:tc>
          <w:tcPr>
            <w:tcW w:w="2244" w:type="dxa"/>
            <w:tcBorders>
              <w:left w:val="single" w:sz="4" w:space="0" w:color="auto"/>
              <w:bottom w:val="single" w:sz="4" w:space="0" w:color="auto"/>
              <w:right w:val="single" w:sz="4" w:space="0" w:color="auto"/>
            </w:tcBorders>
            <w:shd w:val="clear" w:color="auto" w:fill="auto"/>
            <w:vAlign w:val="bottom"/>
            <w:hideMark/>
          </w:tcPr>
          <w:p w14:paraId="34B9BDC9" w14:textId="77777777" w:rsidR="00526BD6" w:rsidRPr="00526BD6" w:rsidRDefault="00015108" w:rsidP="00526BD6">
            <w:pPr>
              <w:rPr>
                <w:rFonts w:ascii="Arial" w:eastAsia="Times New Roman" w:hAnsi="Arial" w:cs="Arial"/>
                <w:b/>
                <w:sz w:val="16"/>
                <w:szCs w:val="16"/>
                <w:lang w:eastAsia="es-AR"/>
              </w:rPr>
            </w:pPr>
            <w:r>
              <w:rPr>
                <w:rFonts w:ascii="Arial" w:eastAsia="Times New Roman" w:hAnsi="Arial" w:cs="Arial"/>
                <w:b/>
                <w:sz w:val="16"/>
                <w:szCs w:val="16"/>
                <w:lang w:eastAsia="es-AR"/>
              </w:rPr>
              <w:t>Ocupados con ingresos</w:t>
            </w:r>
          </w:p>
        </w:tc>
        <w:tc>
          <w:tcPr>
            <w:tcW w:w="719" w:type="dxa"/>
            <w:tcBorders>
              <w:left w:val="single" w:sz="4" w:space="0" w:color="auto"/>
              <w:bottom w:val="single" w:sz="4" w:space="0" w:color="auto"/>
              <w:right w:val="single" w:sz="4" w:space="0" w:color="auto"/>
            </w:tcBorders>
            <w:shd w:val="clear" w:color="auto" w:fill="auto"/>
            <w:vAlign w:val="bottom"/>
            <w:hideMark/>
          </w:tcPr>
          <w:p w14:paraId="54B28E3A" w14:textId="77777777" w:rsidR="00526BD6" w:rsidRPr="00526BD6" w:rsidRDefault="00526BD6" w:rsidP="00526BD6">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20.405</w:t>
            </w:r>
          </w:p>
        </w:tc>
        <w:tc>
          <w:tcPr>
            <w:tcW w:w="719" w:type="dxa"/>
            <w:tcBorders>
              <w:left w:val="single" w:sz="4" w:space="0" w:color="auto"/>
              <w:bottom w:val="single" w:sz="4" w:space="0" w:color="auto"/>
              <w:right w:val="single" w:sz="4" w:space="0" w:color="auto"/>
            </w:tcBorders>
            <w:shd w:val="clear" w:color="auto" w:fill="auto"/>
            <w:vAlign w:val="bottom"/>
            <w:hideMark/>
          </w:tcPr>
          <w:p w14:paraId="6107287A" w14:textId="77777777" w:rsidR="00526BD6" w:rsidRPr="00526BD6" w:rsidRDefault="00526BD6" w:rsidP="00526BD6">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26.453</w:t>
            </w:r>
          </w:p>
        </w:tc>
        <w:tc>
          <w:tcPr>
            <w:tcW w:w="719" w:type="dxa"/>
            <w:tcBorders>
              <w:left w:val="single" w:sz="4" w:space="0" w:color="auto"/>
              <w:bottom w:val="single" w:sz="4" w:space="0" w:color="auto"/>
              <w:right w:val="single" w:sz="4" w:space="0" w:color="auto"/>
            </w:tcBorders>
            <w:shd w:val="clear" w:color="auto" w:fill="auto"/>
            <w:vAlign w:val="bottom"/>
            <w:hideMark/>
          </w:tcPr>
          <w:p w14:paraId="6AA8AF41" w14:textId="77777777" w:rsidR="00526BD6" w:rsidRPr="00526BD6" w:rsidRDefault="00526BD6" w:rsidP="00526BD6">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28.497</w:t>
            </w:r>
          </w:p>
        </w:tc>
        <w:tc>
          <w:tcPr>
            <w:tcW w:w="941" w:type="dxa"/>
            <w:tcBorders>
              <w:left w:val="single" w:sz="4" w:space="0" w:color="auto"/>
              <w:bottom w:val="single" w:sz="4" w:space="0" w:color="auto"/>
              <w:right w:val="single" w:sz="4" w:space="0" w:color="auto"/>
            </w:tcBorders>
            <w:shd w:val="clear" w:color="auto" w:fill="auto"/>
            <w:noWrap/>
            <w:vAlign w:val="bottom"/>
            <w:hideMark/>
          </w:tcPr>
          <w:p w14:paraId="64582FC5" w14:textId="77777777" w:rsidR="00526BD6" w:rsidRPr="00526BD6" w:rsidRDefault="00526BD6" w:rsidP="00526BD6">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7,7%</w:t>
            </w:r>
          </w:p>
        </w:tc>
        <w:tc>
          <w:tcPr>
            <w:tcW w:w="941" w:type="dxa"/>
            <w:tcBorders>
              <w:left w:val="single" w:sz="4" w:space="0" w:color="auto"/>
              <w:bottom w:val="single" w:sz="4" w:space="0" w:color="auto"/>
              <w:right w:val="single" w:sz="4" w:space="0" w:color="auto"/>
            </w:tcBorders>
            <w:shd w:val="clear" w:color="auto" w:fill="auto"/>
            <w:noWrap/>
            <w:vAlign w:val="bottom"/>
            <w:hideMark/>
          </w:tcPr>
          <w:p w14:paraId="262D8CA2" w14:textId="77777777" w:rsidR="00526BD6" w:rsidRPr="00526BD6" w:rsidRDefault="00526BD6" w:rsidP="00526BD6">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39,7%</w:t>
            </w:r>
          </w:p>
        </w:tc>
        <w:tc>
          <w:tcPr>
            <w:tcW w:w="941" w:type="dxa"/>
            <w:tcBorders>
              <w:left w:val="single" w:sz="4" w:space="0" w:color="auto"/>
              <w:bottom w:val="single" w:sz="4" w:space="0" w:color="auto"/>
              <w:right w:val="single" w:sz="4" w:space="0" w:color="auto"/>
            </w:tcBorders>
            <w:shd w:val="clear" w:color="auto" w:fill="auto"/>
            <w:noWrap/>
            <w:vAlign w:val="bottom"/>
            <w:hideMark/>
          </w:tcPr>
          <w:p w14:paraId="3C78E431" w14:textId="77777777" w:rsidR="00526BD6" w:rsidRPr="00526BD6" w:rsidRDefault="00526BD6" w:rsidP="00526BD6">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-1,0%</w:t>
            </w:r>
          </w:p>
        </w:tc>
        <w:tc>
          <w:tcPr>
            <w:tcW w:w="960" w:type="dxa"/>
            <w:tcBorders>
              <w:left w:val="single" w:sz="4" w:space="0" w:color="auto"/>
              <w:bottom w:val="single" w:sz="4" w:space="0" w:color="auto"/>
              <w:right w:val="single" w:sz="4" w:space="0" w:color="auto"/>
            </w:tcBorders>
            <w:shd w:val="clear" w:color="auto" w:fill="auto"/>
            <w:noWrap/>
            <w:vAlign w:val="bottom"/>
            <w:hideMark/>
          </w:tcPr>
          <w:p w14:paraId="04D6EE44" w14:textId="77777777" w:rsidR="00526BD6" w:rsidRPr="00526BD6" w:rsidRDefault="00526BD6" w:rsidP="00526BD6">
            <w:pPr>
              <w:jc w:val="right"/>
              <w:rPr>
                <w:rFonts w:ascii="Arial" w:eastAsia="Times New Roman" w:hAnsi="Arial" w:cs="Arial"/>
                <w:b/>
                <w:bCs/>
                <w:sz w:val="16"/>
                <w:szCs w:val="16"/>
                <w:lang w:eastAsia="es-AR"/>
              </w:rPr>
            </w:pPr>
            <w:r w:rsidRPr="00526BD6">
              <w:rPr>
                <w:rFonts w:ascii="Arial" w:eastAsia="Times New Roman" w:hAnsi="Arial" w:cs="Arial"/>
                <w:b/>
                <w:bCs/>
                <w:sz w:val="16"/>
                <w:szCs w:val="16"/>
                <w:lang w:eastAsia="es-AR"/>
              </w:rPr>
              <w:t>-7,2%</w:t>
            </w:r>
          </w:p>
        </w:tc>
      </w:tr>
    </w:tbl>
    <w:p w14:paraId="655D00C0" w14:textId="77777777" w:rsidR="00BE2998" w:rsidRPr="00BE2998" w:rsidRDefault="00BE2998" w:rsidP="00BE2998">
      <w:pPr>
        <w:jc w:val="center"/>
        <w:rPr>
          <w:sz w:val="20"/>
          <w:szCs w:val="20"/>
          <w:lang w:val="es-ES"/>
        </w:rPr>
      </w:pPr>
      <w:r w:rsidRPr="00BE2998">
        <w:rPr>
          <w:sz w:val="20"/>
          <w:szCs w:val="20"/>
          <w:lang w:val="es-ES"/>
        </w:rPr>
        <w:t>Fuente: Elaboración propia en base a EPH e IPC Nacional (INDEC).</w:t>
      </w:r>
    </w:p>
    <w:p w14:paraId="3BF2B88A" w14:textId="77777777" w:rsidR="006F13CC" w:rsidRDefault="006F13CC" w:rsidP="006F13CC">
      <w:pPr>
        <w:jc w:val="both"/>
        <w:rPr>
          <w:lang w:val="es-ES"/>
        </w:rPr>
      </w:pPr>
    </w:p>
    <w:p w14:paraId="699E6A76" w14:textId="77777777" w:rsidR="006F13CC" w:rsidRPr="00515101" w:rsidRDefault="00015108" w:rsidP="00515101">
      <w:pPr>
        <w:jc w:val="both"/>
        <w:rPr>
          <w:lang w:val="es-ES"/>
        </w:rPr>
      </w:pPr>
      <w:r>
        <w:rPr>
          <w:lang w:val="es-ES"/>
        </w:rPr>
        <w:t xml:space="preserve">Consecuentemente, el comportamiento que arroja la </w:t>
      </w:r>
      <w:r w:rsidR="00515101">
        <w:rPr>
          <w:lang w:val="es-ES"/>
        </w:rPr>
        <w:t>evolución en la</w:t>
      </w:r>
      <w:r>
        <w:rPr>
          <w:lang w:val="es-ES"/>
        </w:rPr>
        <w:t xml:space="preserve"> distribu</w:t>
      </w:r>
      <w:r w:rsidR="00515101">
        <w:rPr>
          <w:lang w:val="es-ES"/>
        </w:rPr>
        <w:t>ción</w:t>
      </w:r>
      <w:r>
        <w:rPr>
          <w:lang w:val="es-ES"/>
        </w:rPr>
        <w:t xml:space="preserve"> si se considera a la población total difiere de lo ocurrido si se analiza a la población ocupada: mientras en el primer caso, el decil de más bajos ingresos muestra el mayor deterioro en términos reales (-9,1% interanual), en el segundo caso evidencia una caída menor al resto de los deciles.</w:t>
      </w:r>
      <w:r w:rsidR="00515101">
        <w:rPr>
          <w:lang w:val="es-ES"/>
        </w:rPr>
        <w:t xml:space="preserve"> </w:t>
      </w:r>
      <w:r w:rsidR="00B31E32">
        <w:rPr>
          <w:lang w:val="es-ES"/>
        </w:rPr>
        <w:t>L</w:t>
      </w:r>
      <w:r w:rsidR="00515101">
        <w:rPr>
          <w:lang w:val="es-ES"/>
        </w:rPr>
        <w:t xml:space="preserve">a diferencia observada entre una y otra </w:t>
      </w:r>
      <w:r w:rsidR="00B31E32">
        <w:rPr>
          <w:lang w:val="es-ES"/>
        </w:rPr>
        <w:t>distribución</w:t>
      </w:r>
      <w:r w:rsidR="00515101">
        <w:rPr>
          <w:lang w:val="es-ES"/>
        </w:rPr>
        <w:t xml:space="preserve"> puede deberse en parte a la dinámica experimentada en el empleo. En términos interanuales, en el primer decil se registra un incremento de la cantidad de no ocupados cada 100 ocupados, mientras a nivel general esta relación se mantuvo estable.</w:t>
      </w:r>
      <w:r w:rsidR="00515101" w:rsidRPr="00515101">
        <w:rPr>
          <w:lang w:val="es-ES"/>
        </w:rPr>
        <w:t xml:space="preserve"> </w:t>
      </w:r>
      <w:r w:rsidR="008B53F9">
        <w:rPr>
          <w:lang w:val="es-ES"/>
        </w:rPr>
        <w:t>Por otra parte, en el mismo período se registró un leve incremento de los ocupados que no percibieron ingresos, del 2,9% al 3,3%.</w:t>
      </w:r>
    </w:p>
    <w:p w14:paraId="7D671305" w14:textId="77777777" w:rsidR="00015108" w:rsidRDefault="00015108">
      <w:pPr>
        <w:rPr>
          <w:lang w:val="es-ES"/>
        </w:rPr>
      </w:pPr>
    </w:p>
    <w:p w14:paraId="7651A511" w14:textId="77777777" w:rsidR="00632526" w:rsidRDefault="00632526" w:rsidP="00632526">
      <w:pPr>
        <w:ind w:left="426"/>
        <w:rPr>
          <w:lang w:val="es-ES"/>
        </w:rPr>
      </w:pPr>
    </w:p>
    <w:p w14:paraId="35367FED" w14:textId="77777777" w:rsidR="00DF18A6" w:rsidRDefault="00632526" w:rsidP="00632526">
      <w:pPr>
        <w:ind w:left="426"/>
        <w:rPr>
          <w:lang w:val="es-ES"/>
        </w:rPr>
      </w:pPr>
      <w:r w:rsidRPr="00632526">
        <w:rPr>
          <w:b/>
          <w:lang w:val="es-ES"/>
        </w:rPr>
        <w:t>Gráfico 1.</w:t>
      </w:r>
      <w:r>
        <w:rPr>
          <w:lang w:val="es-ES"/>
        </w:rPr>
        <w:t xml:space="preserve"> Cantidad de no ocupados cada 100 ocupados, según decil de ingreso per cápita familiar. 1er trimestre 2019-1er trimestre 2020.</w:t>
      </w:r>
    </w:p>
    <w:p w14:paraId="06D67F97" w14:textId="77777777" w:rsidR="00DF18A6" w:rsidRDefault="00DF18A6" w:rsidP="00DF18A6">
      <w:pPr>
        <w:jc w:val="center"/>
        <w:rPr>
          <w:lang w:val="es-ES"/>
        </w:rPr>
      </w:pPr>
      <w:r>
        <w:rPr>
          <w:noProof/>
          <w:lang w:eastAsia="es-AR"/>
        </w:rPr>
        <w:drawing>
          <wp:inline distT="0" distB="0" distL="0" distR="0" wp14:anchorId="25B1F996" wp14:editId="37C0C523">
            <wp:extent cx="4962525" cy="276225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E98B2F" w14:textId="77777777" w:rsidR="00632526" w:rsidRPr="00632526" w:rsidRDefault="00632526" w:rsidP="00632526">
      <w:pPr>
        <w:jc w:val="center"/>
        <w:rPr>
          <w:sz w:val="20"/>
          <w:szCs w:val="20"/>
          <w:lang w:val="es-ES"/>
        </w:rPr>
      </w:pPr>
      <w:r w:rsidRPr="00632526">
        <w:rPr>
          <w:sz w:val="20"/>
          <w:szCs w:val="20"/>
          <w:lang w:val="es-ES"/>
        </w:rPr>
        <w:t>Fuente: Elaboración propia en base a EPH</w:t>
      </w:r>
      <w:r w:rsidR="00B31E32">
        <w:rPr>
          <w:sz w:val="20"/>
          <w:szCs w:val="20"/>
          <w:lang w:val="es-ES"/>
        </w:rPr>
        <w:t>-INDEC</w:t>
      </w:r>
      <w:r w:rsidRPr="00632526">
        <w:rPr>
          <w:sz w:val="20"/>
          <w:szCs w:val="20"/>
          <w:lang w:val="es-ES"/>
        </w:rPr>
        <w:t>.</w:t>
      </w:r>
    </w:p>
    <w:p w14:paraId="338D8748" w14:textId="77777777" w:rsidR="00DF18A6" w:rsidRDefault="00DF18A6">
      <w:pPr>
        <w:rPr>
          <w:lang w:val="es-ES"/>
        </w:rPr>
      </w:pPr>
    </w:p>
    <w:p w14:paraId="578B9CB6" w14:textId="77777777" w:rsidR="00015108" w:rsidRPr="00015108" w:rsidRDefault="00015108" w:rsidP="00B31E32">
      <w:pPr>
        <w:jc w:val="both"/>
        <w:rPr>
          <w:lang w:val="es-ES"/>
        </w:rPr>
      </w:pPr>
      <w:r w:rsidRPr="00015108">
        <w:rPr>
          <w:lang w:val="es-ES"/>
        </w:rPr>
        <w:lastRenderedPageBreak/>
        <w:t xml:space="preserve">En cuanto al nivel de ingresos se observa que, tomando al universo de </w:t>
      </w:r>
      <w:r w:rsidR="00B31E32">
        <w:rPr>
          <w:lang w:val="es-ES"/>
        </w:rPr>
        <w:t>la población ocupada</w:t>
      </w:r>
      <w:r w:rsidRPr="00015108">
        <w:rPr>
          <w:lang w:val="es-ES"/>
        </w:rPr>
        <w:t>, al menos 3 de cada 10 trabajadores tienen ingresos inferiores a la C</w:t>
      </w:r>
      <w:r w:rsidR="00B31E32">
        <w:rPr>
          <w:lang w:val="es-ES"/>
        </w:rPr>
        <w:t xml:space="preserve">anasta </w:t>
      </w:r>
      <w:r w:rsidRPr="00015108">
        <w:rPr>
          <w:lang w:val="es-ES"/>
        </w:rPr>
        <w:t>B</w:t>
      </w:r>
      <w:r w:rsidR="00B31E32">
        <w:rPr>
          <w:lang w:val="es-ES"/>
        </w:rPr>
        <w:t xml:space="preserve">ásica </w:t>
      </w:r>
      <w:r w:rsidRPr="00015108">
        <w:rPr>
          <w:lang w:val="es-ES"/>
        </w:rPr>
        <w:t>A</w:t>
      </w:r>
      <w:r w:rsidR="00B31E32">
        <w:rPr>
          <w:lang w:val="es-ES"/>
        </w:rPr>
        <w:t>limentaria</w:t>
      </w:r>
      <w:r w:rsidRPr="00015108">
        <w:rPr>
          <w:lang w:val="es-ES"/>
        </w:rPr>
        <w:t xml:space="preserve"> para una familia tipo ($17.300 en Marzo), mientras </w:t>
      </w:r>
      <w:r w:rsidR="00B31E32">
        <w:rPr>
          <w:lang w:val="es-ES"/>
        </w:rPr>
        <w:t>que</w:t>
      </w:r>
      <w:r w:rsidRPr="00015108">
        <w:rPr>
          <w:lang w:val="es-ES"/>
        </w:rPr>
        <w:t xml:space="preserve"> 8 de cada 10 </w:t>
      </w:r>
      <w:r w:rsidR="00B31E32">
        <w:rPr>
          <w:lang w:val="es-ES"/>
        </w:rPr>
        <w:t>se encuentran</w:t>
      </w:r>
      <w:r w:rsidRPr="00015108">
        <w:rPr>
          <w:lang w:val="es-ES"/>
        </w:rPr>
        <w:t xml:space="preserve"> por debajo de la C</w:t>
      </w:r>
      <w:r w:rsidR="00B31E32">
        <w:rPr>
          <w:lang w:val="es-ES"/>
        </w:rPr>
        <w:t xml:space="preserve">anasta </w:t>
      </w:r>
      <w:r w:rsidRPr="00015108">
        <w:rPr>
          <w:lang w:val="es-ES"/>
        </w:rPr>
        <w:t>B</w:t>
      </w:r>
      <w:r w:rsidR="00B31E32">
        <w:rPr>
          <w:lang w:val="es-ES"/>
        </w:rPr>
        <w:t xml:space="preserve">ásica </w:t>
      </w:r>
      <w:r w:rsidRPr="00015108">
        <w:rPr>
          <w:lang w:val="es-ES"/>
        </w:rPr>
        <w:t>T</w:t>
      </w:r>
      <w:r w:rsidR="00B31E32">
        <w:rPr>
          <w:lang w:val="es-ES"/>
        </w:rPr>
        <w:t>otal</w:t>
      </w:r>
      <w:r w:rsidRPr="00015108">
        <w:rPr>
          <w:lang w:val="es-ES"/>
        </w:rPr>
        <w:t xml:space="preserve"> (casi $42.000 en Marzo).</w:t>
      </w:r>
      <w:r w:rsidR="00B31E32">
        <w:rPr>
          <w:lang w:val="es-ES"/>
        </w:rPr>
        <w:t xml:space="preserve"> </w:t>
      </w:r>
      <w:r w:rsidRPr="00015108">
        <w:rPr>
          <w:lang w:val="es-ES"/>
        </w:rPr>
        <w:t xml:space="preserve">Si se replica dicho análisis teniendo en cuenta el ingreso total familiar percibido por los hogares, surge que aproximadamente el 10% de los hogares percibe ingresos inferiores a la CBA para una familia tipo, mientras </w:t>
      </w:r>
      <w:r w:rsidR="00B31E32">
        <w:rPr>
          <w:lang w:val="es-ES"/>
        </w:rPr>
        <w:t xml:space="preserve">que </w:t>
      </w:r>
      <w:r w:rsidRPr="00015108">
        <w:rPr>
          <w:lang w:val="es-ES"/>
        </w:rPr>
        <w:t>4 de cada 10 se encuentran por debajo de la CBT.</w:t>
      </w:r>
    </w:p>
    <w:p w14:paraId="2207DDDE" w14:textId="77777777" w:rsidR="00015108" w:rsidRDefault="00015108" w:rsidP="00015108">
      <w:pPr>
        <w:rPr>
          <w:lang w:val="es-ES"/>
        </w:rPr>
      </w:pPr>
    </w:p>
    <w:p w14:paraId="22D748C5" w14:textId="77777777" w:rsidR="00B31E32" w:rsidRPr="00015108" w:rsidRDefault="00B31E32" w:rsidP="007F1A20">
      <w:pPr>
        <w:ind w:left="1134"/>
        <w:rPr>
          <w:lang w:val="es-ES"/>
        </w:rPr>
      </w:pPr>
      <w:r w:rsidRPr="007F1A20">
        <w:rPr>
          <w:b/>
          <w:lang w:val="es-ES"/>
        </w:rPr>
        <w:t>Cuadro 3.</w:t>
      </w:r>
      <w:r>
        <w:rPr>
          <w:lang w:val="es-ES"/>
        </w:rPr>
        <w:t xml:space="preserve"> Rango de ingresos por decil</w:t>
      </w:r>
      <w:r w:rsidR="007F1A20">
        <w:rPr>
          <w:lang w:val="es-ES"/>
        </w:rPr>
        <w:t>. Población ocupada según ingreso de la ocupación principal y hogares según ingreso total familiar. 1er trimestre 2020.</w:t>
      </w:r>
    </w:p>
    <w:tbl>
      <w:tblPr>
        <w:tblW w:w="6280" w:type="dxa"/>
        <w:jc w:val="center"/>
        <w:tblCellMar>
          <w:left w:w="70" w:type="dxa"/>
          <w:right w:w="70" w:type="dxa"/>
        </w:tblCellMar>
        <w:tblLook w:val="04A0" w:firstRow="1" w:lastRow="0" w:firstColumn="1" w:lastColumn="0" w:noHBand="0" w:noVBand="1"/>
      </w:tblPr>
      <w:tblGrid>
        <w:gridCol w:w="1143"/>
        <w:gridCol w:w="185"/>
        <w:gridCol w:w="1134"/>
        <w:gridCol w:w="185"/>
        <w:gridCol w:w="1144"/>
        <w:gridCol w:w="1144"/>
        <w:gridCol w:w="185"/>
        <w:gridCol w:w="1160"/>
      </w:tblGrid>
      <w:tr w:rsidR="00B31E32" w:rsidRPr="00B31E32" w14:paraId="6EF56816" w14:textId="77777777" w:rsidTr="007F1A20">
        <w:trPr>
          <w:trHeight w:val="555"/>
          <w:jc w:val="center"/>
        </w:trPr>
        <w:tc>
          <w:tcPr>
            <w:tcW w:w="1143" w:type="dxa"/>
            <w:vMerge w:val="restart"/>
            <w:tcBorders>
              <w:top w:val="single" w:sz="4" w:space="0" w:color="auto"/>
              <w:left w:val="single" w:sz="4" w:space="0" w:color="auto"/>
              <w:bottom w:val="single" w:sz="4" w:space="0" w:color="000000"/>
              <w:right w:val="nil"/>
            </w:tcBorders>
            <w:shd w:val="clear" w:color="000000" w:fill="0070C0"/>
            <w:vAlign w:val="center"/>
            <w:hideMark/>
          </w:tcPr>
          <w:p w14:paraId="380F6D1B"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Número de decil</w:t>
            </w:r>
          </w:p>
        </w:tc>
        <w:tc>
          <w:tcPr>
            <w:tcW w:w="185" w:type="dxa"/>
            <w:tcBorders>
              <w:top w:val="single" w:sz="4" w:space="0" w:color="auto"/>
              <w:left w:val="nil"/>
              <w:bottom w:val="nil"/>
              <w:right w:val="nil"/>
            </w:tcBorders>
            <w:shd w:val="clear" w:color="000000" w:fill="0070C0"/>
            <w:vAlign w:val="bottom"/>
            <w:hideMark/>
          </w:tcPr>
          <w:p w14:paraId="42D97FD9"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 </w:t>
            </w:r>
          </w:p>
        </w:tc>
        <w:tc>
          <w:tcPr>
            <w:tcW w:w="2463" w:type="dxa"/>
            <w:gridSpan w:val="3"/>
            <w:tcBorders>
              <w:top w:val="single" w:sz="4" w:space="0" w:color="auto"/>
              <w:left w:val="nil"/>
              <w:bottom w:val="single" w:sz="4" w:space="0" w:color="auto"/>
              <w:right w:val="nil"/>
            </w:tcBorders>
            <w:shd w:val="clear" w:color="000000" w:fill="0070C0"/>
            <w:vAlign w:val="center"/>
            <w:hideMark/>
          </w:tcPr>
          <w:p w14:paraId="2D0A75E9"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Rango de ingresos de la población ocupada</w:t>
            </w:r>
            <w:r>
              <w:rPr>
                <w:rFonts w:ascii="Arial" w:eastAsia="Times New Roman" w:hAnsi="Arial" w:cs="Arial"/>
                <w:color w:val="FFFFFF"/>
                <w:sz w:val="16"/>
                <w:szCs w:val="16"/>
                <w:lang w:eastAsia="es-AR"/>
              </w:rPr>
              <w:t xml:space="preserve"> (en $)</w:t>
            </w:r>
          </w:p>
        </w:tc>
        <w:tc>
          <w:tcPr>
            <w:tcW w:w="2489" w:type="dxa"/>
            <w:gridSpan w:val="3"/>
            <w:tcBorders>
              <w:top w:val="single" w:sz="4" w:space="0" w:color="auto"/>
              <w:left w:val="nil"/>
              <w:bottom w:val="single" w:sz="4" w:space="0" w:color="auto"/>
              <w:right w:val="single" w:sz="4" w:space="0" w:color="000000"/>
            </w:tcBorders>
            <w:shd w:val="clear" w:color="000000" w:fill="0070C0"/>
            <w:vAlign w:val="center"/>
            <w:hideMark/>
          </w:tcPr>
          <w:p w14:paraId="055A2977"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Rango de ingresos de los hogares</w:t>
            </w:r>
            <w:r>
              <w:rPr>
                <w:rFonts w:ascii="Arial" w:eastAsia="Times New Roman" w:hAnsi="Arial" w:cs="Arial"/>
                <w:color w:val="FFFFFF"/>
                <w:sz w:val="16"/>
                <w:szCs w:val="16"/>
                <w:lang w:eastAsia="es-AR"/>
              </w:rPr>
              <w:t xml:space="preserve"> (en $)</w:t>
            </w:r>
          </w:p>
        </w:tc>
      </w:tr>
      <w:tr w:rsidR="00B31E32" w:rsidRPr="00B31E32" w14:paraId="2A4A2353" w14:textId="77777777" w:rsidTr="007F1A20">
        <w:trPr>
          <w:trHeight w:val="300"/>
          <w:jc w:val="center"/>
        </w:trPr>
        <w:tc>
          <w:tcPr>
            <w:tcW w:w="1143" w:type="dxa"/>
            <w:vMerge/>
            <w:tcBorders>
              <w:top w:val="single" w:sz="4" w:space="0" w:color="auto"/>
              <w:left w:val="single" w:sz="4" w:space="0" w:color="auto"/>
              <w:bottom w:val="single" w:sz="4" w:space="0" w:color="000000"/>
              <w:right w:val="nil"/>
            </w:tcBorders>
            <w:vAlign w:val="center"/>
            <w:hideMark/>
          </w:tcPr>
          <w:p w14:paraId="57A6F420" w14:textId="77777777" w:rsidR="00B31E32" w:rsidRPr="00B31E32" w:rsidRDefault="00B31E32" w:rsidP="00B31E32">
            <w:pPr>
              <w:rPr>
                <w:rFonts w:ascii="Arial" w:eastAsia="Times New Roman" w:hAnsi="Arial" w:cs="Arial"/>
                <w:color w:val="FFFFFF"/>
                <w:sz w:val="16"/>
                <w:szCs w:val="16"/>
                <w:lang w:eastAsia="es-AR"/>
              </w:rPr>
            </w:pPr>
          </w:p>
        </w:tc>
        <w:tc>
          <w:tcPr>
            <w:tcW w:w="185" w:type="dxa"/>
            <w:tcBorders>
              <w:top w:val="nil"/>
              <w:left w:val="nil"/>
              <w:bottom w:val="single" w:sz="4" w:space="0" w:color="auto"/>
              <w:right w:val="nil"/>
            </w:tcBorders>
            <w:shd w:val="clear" w:color="000000" w:fill="0070C0"/>
            <w:vAlign w:val="bottom"/>
            <w:hideMark/>
          </w:tcPr>
          <w:p w14:paraId="3AF04B43"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 </w:t>
            </w:r>
          </w:p>
        </w:tc>
        <w:tc>
          <w:tcPr>
            <w:tcW w:w="1134" w:type="dxa"/>
            <w:tcBorders>
              <w:top w:val="nil"/>
              <w:left w:val="nil"/>
              <w:bottom w:val="single" w:sz="4" w:space="0" w:color="auto"/>
              <w:right w:val="nil"/>
            </w:tcBorders>
            <w:shd w:val="clear" w:color="000000" w:fill="0070C0"/>
            <w:vAlign w:val="center"/>
            <w:hideMark/>
          </w:tcPr>
          <w:p w14:paraId="2F8428CD"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Desde</w:t>
            </w:r>
          </w:p>
        </w:tc>
        <w:tc>
          <w:tcPr>
            <w:tcW w:w="185" w:type="dxa"/>
            <w:tcBorders>
              <w:top w:val="nil"/>
              <w:left w:val="nil"/>
              <w:bottom w:val="single" w:sz="4" w:space="0" w:color="auto"/>
              <w:right w:val="nil"/>
            </w:tcBorders>
            <w:shd w:val="clear" w:color="000000" w:fill="0070C0"/>
            <w:vAlign w:val="bottom"/>
            <w:hideMark/>
          </w:tcPr>
          <w:p w14:paraId="7C1E03AE"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 </w:t>
            </w:r>
          </w:p>
        </w:tc>
        <w:tc>
          <w:tcPr>
            <w:tcW w:w="1144" w:type="dxa"/>
            <w:tcBorders>
              <w:top w:val="nil"/>
              <w:left w:val="nil"/>
              <w:bottom w:val="single" w:sz="4" w:space="0" w:color="auto"/>
              <w:right w:val="nil"/>
            </w:tcBorders>
            <w:shd w:val="clear" w:color="000000" w:fill="0070C0"/>
            <w:vAlign w:val="center"/>
            <w:hideMark/>
          </w:tcPr>
          <w:p w14:paraId="268027CB"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Hasta</w:t>
            </w:r>
          </w:p>
        </w:tc>
        <w:tc>
          <w:tcPr>
            <w:tcW w:w="1144" w:type="dxa"/>
            <w:tcBorders>
              <w:top w:val="nil"/>
              <w:left w:val="nil"/>
              <w:bottom w:val="single" w:sz="4" w:space="0" w:color="auto"/>
              <w:right w:val="nil"/>
            </w:tcBorders>
            <w:shd w:val="clear" w:color="000000" w:fill="0070C0"/>
            <w:vAlign w:val="center"/>
            <w:hideMark/>
          </w:tcPr>
          <w:p w14:paraId="1D835AB5"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Desde</w:t>
            </w:r>
          </w:p>
        </w:tc>
        <w:tc>
          <w:tcPr>
            <w:tcW w:w="185" w:type="dxa"/>
            <w:tcBorders>
              <w:top w:val="nil"/>
              <w:left w:val="nil"/>
              <w:bottom w:val="single" w:sz="4" w:space="0" w:color="auto"/>
              <w:right w:val="nil"/>
            </w:tcBorders>
            <w:shd w:val="clear" w:color="000000" w:fill="0070C0"/>
            <w:vAlign w:val="bottom"/>
            <w:hideMark/>
          </w:tcPr>
          <w:p w14:paraId="533BA1ED"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 </w:t>
            </w:r>
          </w:p>
        </w:tc>
        <w:tc>
          <w:tcPr>
            <w:tcW w:w="1160" w:type="dxa"/>
            <w:tcBorders>
              <w:top w:val="nil"/>
              <w:left w:val="nil"/>
              <w:bottom w:val="single" w:sz="4" w:space="0" w:color="auto"/>
              <w:right w:val="single" w:sz="4" w:space="0" w:color="auto"/>
            </w:tcBorders>
            <w:shd w:val="clear" w:color="000000" w:fill="0070C0"/>
            <w:vAlign w:val="center"/>
            <w:hideMark/>
          </w:tcPr>
          <w:p w14:paraId="31BFE893" w14:textId="77777777" w:rsidR="00B31E32" w:rsidRPr="00B31E32" w:rsidRDefault="00B31E32" w:rsidP="00B31E32">
            <w:pPr>
              <w:jc w:val="center"/>
              <w:rPr>
                <w:rFonts w:ascii="Arial" w:eastAsia="Times New Roman" w:hAnsi="Arial" w:cs="Arial"/>
                <w:color w:val="FFFFFF"/>
                <w:sz w:val="16"/>
                <w:szCs w:val="16"/>
                <w:lang w:eastAsia="es-AR"/>
              </w:rPr>
            </w:pPr>
            <w:r w:rsidRPr="00B31E32">
              <w:rPr>
                <w:rFonts w:ascii="Arial" w:eastAsia="Times New Roman" w:hAnsi="Arial" w:cs="Arial"/>
                <w:color w:val="FFFFFF"/>
                <w:sz w:val="16"/>
                <w:szCs w:val="16"/>
                <w:lang w:eastAsia="es-AR"/>
              </w:rPr>
              <w:t>Hasta</w:t>
            </w:r>
          </w:p>
        </w:tc>
      </w:tr>
      <w:tr w:rsidR="00B31E32" w:rsidRPr="00B31E32" w14:paraId="51953D50" w14:textId="77777777" w:rsidTr="007F1A20">
        <w:trPr>
          <w:trHeight w:val="300"/>
          <w:jc w:val="center"/>
        </w:trPr>
        <w:tc>
          <w:tcPr>
            <w:tcW w:w="1143" w:type="dxa"/>
            <w:tcBorders>
              <w:top w:val="nil"/>
              <w:left w:val="single" w:sz="4" w:space="0" w:color="auto"/>
              <w:bottom w:val="nil"/>
              <w:right w:val="nil"/>
            </w:tcBorders>
            <w:shd w:val="clear" w:color="auto" w:fill="auto"/>
            <w:vAlign w:val="bottom"/>
            <w:hideMark/>
          </w:tcPr>
          <w:p w14:paraId="7939EB69" w14:textId="77777777" w:rsidR="00B31E32" w:rsidRPr="00B31E32" w:rsidRDefault="00B31E32" w:rsidP="00B31E32">
            <w:pPr>
              <w:rPr>
                <w:rFonts w:ascii="Arial" w:eastAsia="Times New Roman" w:hAnsi="Arial" w:cs="Arial"/>
                <w:sz w:val="16"/>
                <w:szCs w:val="16"/>
                <w:lang w:eastAsia="es-AR"/>
              </w:rPr>
            </w:pPr>
            <w:r w:rsidRPr="00B31E32">
              <w:rPr>
                <w:rFonts w:ascii="Arial" w:eastAsia="Times New Roman" w:hAnsi="Arial" w:cs="Arial"/>
                <w:sz w:val="16"/>
                <w:szCs w:val="16"/>
                <w:lang w:eastAsia="es-AR"/>
              </w:rPr>
              <w:t> </w:t>
            </w:r>
          </w:p>
        </w:tc>
        <w:tc>
          <w:tcPr>
            <w:tcW w:w="185" w:type="dxa"/>
            <w:tcBorders>
              <w:top w:val="nil"/>
              <w:left w:val="nil"/>
              <w:bottom w:val="nil"/>
              <w:right w:val="nil"/>
            </w:tcBorders>
            <w:shd w:val="clear" w:color="auto" w:fill="auto"/>
            <w:vAlign w:val="bottom"/>
            <w:hideMark/>
          </w:tcPr>
          <w:p w14:paraId="3E090731"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bottom"/>
            <w:hideMark/>
          </w:tcPr>
          <w:p w14:paraId="7B65B9F0" w14:textId="77777777" w:rsidR="00B31E32" w:rsidRPr="00B31E32" w:rsidRDefault="00B31E32" w:rsidP="00B31E32">
            <w:pPr>
              <w:rPr>
                <w:rFonts w:ascii="Arial" w:eastAsia="Times New Roman" w:hAnsi="Arial" w:cs="Arial"/>
                <w:sz w:val="16"/>
                <w:szCs w:val="16"/>
                <w:lang w:eastAsia="es-AR"/>
              </w:rPr>
            </w:pPr>
          </w:p>
        </w:tc>
        <w:tc>
          <w:tcPr>
            <w:tcW w:w="185" w:type="dxa"/>
            <w:tcBorders>
              <w:top w:val="nil"/>
              <w:left w:val="nil"/>
              <w:bottom w:val="nil"/>
              <w:right w:val="nil"/>
            </w:tcBorders>
            <w:shd w:val="clear" w:color="auto" w:fill="auto"/>
            <w:vAlign w:val="bottom"/>
            <w:hideMark/>
          </w:tcPr>
          <w:p w14:paraId="089B35E9" w14:textId="77777777" w:rsidR="00B31E32" w:rsidRPr="00B31E32" w:rsidRDefault="00B31E32" w:rsidP="00B31E32">
            <w:pPr>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bottom"/>
            <w:hideMark/>
          </w:tcPr>
          <w:p w14:paraId="456FD9BA" w14:textId="77777777" w:rsidR="00B31E32" w:rsidRPr="00B31E32" w:rsidRDefault="00B31E32" w:rsidP="00B31E32">
            <w:pPr>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bottom"/>
            <w:hideMark/>
          </w:tcPr>
          <w:p w14:paraId="6F00833E" w14:textId="77777777" w:rsidR="00B31E32" w:rsidRPr="00B31E32" w:rsidRDefault="00B31E32" w:rsidP="00B31E32">
            <w:pPr>
              <w:rPr>
                <w:rFonts w:ascii="Arial" w:eastAsia="Times New Roman" w:hAnsi="Arial" w:cs="Arial"/>
                <w:sz w:val="16"/>
                <w:szCs w:val="16"/>
                <w:lang w:eastAsia="es-AR"/>
              </w:rPr>
            </w:pPr>
          </w:p>
        </w:tc>
        <w:tc>
          <w:tcPr>
            <w:tcW w:w="185" w:type="dxa"/>
            <w:tcBorders>
              <w:top w:val="nil"/>
              <w:left w:val="nil"/>
              <w:bottom w:val="nil"/>
              <w:right w:val="nil"/>
            </w:tcBorders>
            <w:shd w:val="clear" w:color="auto" w:fill="auto"/>
            <w:vAlign w:val="bottom"/>
            <w:hideMark/>
          </w:tcPr>
          <w:p w14:paraId="01B7D717" w14:textId="77777777" w:rsidR="00B31E32" w:rsidRPr="00B31E32" w:rsidRDefault="00B31E32" w:rsidP="00B31E32">
            <w:pPr>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bottom"/>
            <w:hideMark/>
          </w:tcPr>
          <w:p w14:paraId="04C340AF" w14:textId="77777777" w:rsidR="00B31E32" w:rsidRPr="00B31E32" w:rsidRDefault="00B31E32" w:rsidP="00B31E32">
            <w:pPr>
              <w:rPr>
                <w:rFonts w:ascii="Arial" w:eastAsia="Times New Roman" w:hAnsi="Arial" w:cs="Arial"/>
                <w:sz w:val="16"/>
                <w:szCs w:val="16"/>
                <w:lang w:eastAsia="es-AR"/>
              </w:rPr>
            </w:pPr>
            <w:r w:rsidRPr="00B31E32">
              <w:rPr>
                <w:rFonts w:ascii="Arial" w:eastAsia="Times New Roman" w:hAnsi="Arial" w:cs="Arial"/>
                <w:sz w:val="16"/>
                <w:szCs w:val="16"/>
                <w:lang w:eastAsia="es-AR"/>
              </w:rPr>
              <w:t> </w:t>
            </w:r>
          </w:p>
        </w:tc>
      </w:tr>
      <w:tr w:rsidR="00B31E32" w:rsidRPr="00B31E32" w14:paraId="428A758D" w14:textId="77777777" w:rsidTr="007F1A20">
        <w:trPr>
          <w:trHeight w:val="300"/>
          <w:jc w:val="center"/>
        </w:trPr>
        <w:tc>
          <w:tcPr>
            <w:tcW w:w="1143" w:type="dxa"/>
            <w:tcBorders>
              <w:top w:val="nil"/>
              <w:left w:val="single" w:sz="4" w:space="0" w:color="auto"/>
              <w:bottom w:val="nil"/>
              <w:right w:val="nil"/>
            </w:tcBorders>
            <w:shd w:val="clear" w:color="auto" w:fill="auto"/>
            <w:hideMark/>
          </w:tcPr>
          <w:p w14:paraId="655DF853"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1</w:t>
            </w:r>
          </w:p>
        </w:tc>
        <w:tc>
          <w:tcPr>
            <w:tcW w:w="185" w:type="dxa"/>
            <w:tcBorders>
              <w:top w:val="nil"/>
              <w:left w:val="nil"/>
              <w:bottom w:val="nil"/>
              <w:right w:val="nil"/>
            </w:tcBorders>
            <w:shd w:val="clear" w:color="auto" w:fill="auto"/>
            <w:hideMark/>
          </w:tcPr>
          <w:p w14:paraId="610C63A3"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center"/>
            <w:hideMark/>
          </w:tcPr>
          <w:p w14:paraId="33575C1A"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200</w:t>
            </w:r>
          </w:p>
        </w:tc>
        <w:tc>
          <w:tcPr>
            <w:tcW w:w="185" w:type="dxa"/>
            <w:tcBorders>
              <w:top w:val="nil"/>
              <w:left w:val="nil"/>
              <w:bottom w:val="nil"/>
              <w:right w:val="nil"/>
            </w:tcBorders>
            <w:shd w:val="clear" w:color="auto" w:fill="auto"/>
            <w:vAlign w:val="center"/>
            <w:hideMark/>
          </w:tcPr>
          <w:p w14:paraId="39751CE6" w14:textId="77777777" w:rsidR="00B31E32" w:rsidRPr="00B31E32" w:rsidRDefault="00B31E32" w:rsidP="00B31E32">
            <w:pPr>
              <w:jc w:val="right"/>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center"/>
            <w:hideMark/>
          </w:tcPr>
          <w:p w14:paraId="5CE27A05"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6.000</w:t>
            </w:r>
          </w:p>
        </w:tc>
        <w:tc>
          <w:tcPr>
            <w:tcW w:w="1144" w:type="dxa"/>
            <w:tcBorders>
              <w:top w:val="nil"/>
              <w:left w:val="nil"/>
              <w:bottom w:val="nil"/>
              <w:right w:val="nil"/>
            </w:tcBorders>
            <w:shd w:val="clear" w:color="auto" w:fill="auto"/>
            <w:vAlign w:val="center"/>
            <w:hideMark/>
          </w:tcPr>
          <w:p w14:paraId="7770032E"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200</w:t>
            </w:r>
          </w:p>
        </w:tc>
        <w:tc>
          <w:tcPr>
            <w:tcW w:w="185" w:type="dxa"/>
            <w:tcBorders>
              <w:top w:val="nil"/>
              <w:left w:val="nil"/>
              <w:bottom w:val="nil"/>
              <w:right w:val="nil"/>
            </w:tcBorders>
            <w:shd w:val="clear" w:color="auto" w:fill="auto"/>
            <w:vAlign w:val="center"/>
            <w:hideMark/>
          </w:tcPr>
          <w:p w14:paraId="1F36F519" w14:textId="77777777" w:rsidR="00B31E32" w:rsidRPr="00B31E32" w:rsidRDefault="00B31E32" w:rsidP="00B31E32">
            <w:pPr>
              <w:jc w:val="right"/>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center"/>
            <w:hideMark/>
          </w:tcPr>
          <w:p w14:paraId="1A657D73"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17.500</w:t>
            </w:r>
          </w:p>
        </w:tc>
      </w:tr>
      <w:tr w:rsidR="00B31E32" w:rsidRPr="00B31E32" w14:paraId="0C9EA281" w14:textId="77777777" w:rsidTr="007F1A20">
        <w:trPr>
          <w:trHeight w:val="300"/>
          <w:jc w:val="center"/>
        </w:trPr>
        <w:tc>
          <w:tcPr>
            <w:tcW w:w="1143" w:type="dxa"/>
            <w:tcBorders>
              <w:top w:val="nil"/>
              <w:left w:val="single" w:sz="4" w:space="0" w:color="auto"/>
              <w:bottom w:val="nil"/>
              <w:right w:val="nil"/>
            </w:tcBorders>
            <w:shd w:val="clear" w:color="auto" w:fill="auto"/>
            <w:hideMark/>
          </w:tcPr>
          <w:p w14:paraId="54CC74B8"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2</w:t>
            </w:r>
          </w:p>
        </w:tc>
        <w:tc>
          <w:tcPr>
            <w:tcW w:w="185" w:type="dxa"/>
            <w:tcBorders>
              <w:top w:val="nil"/>
              <w:left w:val="nil"/>
              <w:bottom w:val="nil"/>
              <w:right w:val="nil"/>
            </w:tcBorders>
            <w:shd w:val="clear" w:color="auto" w:fill="auto"/>
            <w:hideMark/>
          </w:tcPr>
          <w:p w14:paraId="42A69029"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center"/>
            <w:hideMark/>
          </w:tcPr>
          <w:p w14:paraId="0AF53C28"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6.000</w:t>
            </w:r>
          </w:p>
        </w:tc>
        <w:tc>
          <w:tcPr>
            <w:tcW w:w="185" w:type="dxa"/>
            <w:tcBorders>
              <w:top w:val="nil"/>
              <w:left w:val="nil"/>
              <w:bottom w:val="nil"/>
              <w:right w:val="nil"/>
            </w:tcBorders>
            <w:shd w:val="clear" w:color="auto" w:fill="auto"/>
            <w:vAlign w:val="center"/>
            <w:hideMark/>
          </w:tcPr>
          <w:p w14:paraId="7D11740A" w14:textId="77777777" w:rsidR="00B31E32" w:rsidRPr="00B31E32" w:rsidRDefault="00B31E32" w:rsidP="00B31E32">
            <w:pPr>
              <w:jc w:val="right"/>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center"/>
            <w:hideMark/>
          </w:tcPr>
          <w:p w14:paraId="219D959A"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10.000</w:t>
            </w:r>
          </w:p>
        </w:tc>
        <w:tc>
          <w:tcPr>
            <w:tcW w:w="1144" w:type="dxa"/>
            <w:tcBorders>
              <w:top w:val="nil"/>
              <w:left w:val="nil"/>
              <w:bottom w:val="nil"/>
              <w:right w:val="nil"/>
            </w:tcBorders>
            <w:shd w:val="clear" w:color="auto" w:fill="auto"/>
            <w:vAlign w:val="center"/>
            <w:hideMark/>
          </w:tcPr>
          <w:p w14:paraId="3580F310"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17.500</w:t>
            </w:r>
          </w:p>
        </w:tc>
        <w:tc>
          <w:tcPr>
            <w:tcW w:w="185" w:type="dxa"/>
            <w:tcBorders>
              <w:top w:val="nil"/>
              <w:left w:val="nil"/>
              <w:bottom w:val="nil"/>
              <w:right w:val="nil"/>
            </w:tcBorders>
            <w:shd w:val="clear" w:color="auto" w:fill="auto"/>
            <w:vAlign w:val="center"/>
            <w:hideMark/>
          </w:tcPr>
          <w:p w14:paraId="2EF9768B" w14:textId="77777777" w:rsidR="00B31E32" w:rsidRPr="00B31E32" w:rsidRDefault="00B31E32" w:rsidP="00B31E32">
            <w:pPr>
              <w:jc w:val="right"/>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center"/>
            <w:hideMark/>
          </w:tcPr>
          <w:p w14:paraId="33458225"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25.000</w:t>
            </w:r>
          </w:p>
        </w:tc>
      </w:tr>
      <w:tr w:rsidR="00B31E32" w:rsidRPr="00B31E32" w14:paraId="62283346" w14:textId="77777777" w:rsidTr="007F1A20">
        <w:trPr>
          <w:trHeight w:val="300"/>
          <w:jc w:val="center"/>
        </w:trPr>
        <w:tc>
          <w:tcPr>
            <w:tcW w:w="1143" w:type="dxa"/>
            <w:tcBorders>
              <w:top w:val="nil"/>
              <w:left w:val="single" w:sz="4" w:space="0" w:color="auto"/>
              <w:bottom w:val="nil"/>
              <w:right w:val="nil"/>
            </w:tcBorders>
            <w:shd w:val="clear" w:color="auto" w:fill="auto"/>
            <w:hideMark/>
          </w:tcPr>
          <w:p w14:paraId="3CCCF945"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3</w:t>
            </w:r>
          </w:p>
        </w:tc>
        <w:tc>
          <w:tcPr>
            <w:tcW w:w="185" w:type="dxa"/>
            <w:tcBorders>
              <w:top w:val="nil"/>
              <w:left w:val="nil"/>
              <w:bottom w:val="nil"/>
              <w:right w:val="nil"/>
            </w:tcBorders>
            <w:shd w:val="clear" w:color="auto" w:fill="auto"/>
            <w:hideMark/>
          </w:tcPr>
          <w:p w14:paraId="1E838DB5"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center"/>
            <w:hideMark/>
          </w:tcPr>
          <w:p w14:paraId="37E010BA"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10.000</w:t>
            </w:r>
          </w:p>
        </w:tc>
        <w:tc>
          <w:tcPr>
            <w:tcW w:w="185" w:type="dxa"/>
            <w:tcBorders>
              <w:top w:val="nil"/>
              <w:left w:val="nil"/>
              <w:bottom w:val="nil"/>
              <w:right w:val="nil"/>
            </w:tcBorders>
            <w:shd w:val="clear" w:color="auto" w:fill="auto"/>
            <w:vAlign w:val="center"/>
            <w:hideMark/>
          </w:tcPr>
          <w:p w14:paraId="29EE7D59" w14:textId="77777777" w:rsidR="00B31E32" w:rsidRPr="00B31E32" w:rsidRDefault="00B31E32" w:rsidP="00B31E32">
            <w:pPr>
              <w:jc w:val="right"/>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center"/>
            <w:hideMark/>
          </w:tcPr>
          <w:p w14:paraId="3D4B87A3"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15.000</w:t>
            </w:r>
          </w:p>
        </w:tc>
        <w:tc>
          <w:tcPr>
            <w:tcW w:w="1144" w:type="dxa"/>
            <w:tcBorders>
              <w:top w:val="nil"/>
              <w:left w:val="nil"/>
              <w:bottom w:val="nil"/>
              <w:right w:val="nil"/>
            </w:tcBorders>
            <w:shd w:val="clear" w:color="auto" w:fill="auto"/>
            <w:vAlign w:val="center"/>
            <w:hideMark/>
          </w:tcPr>
          <w:p w14:paraId="159F5CEC"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25.000</w:t>
            </w:r>
          </w:p>
        </w:tc>
        <w:tc>
          <w:tcPr>
            <w:tcW w:w="185" w:type="dxa"/>
            <w:tcBorders>
              <w:top w:val="nil"/>
              <w:left w:val="nil"/>
              <w:bottom w:val="nil"/>
              <w:right w:val="nil"/>
            </w:tcBorders>
            <w:shd w:val="clear" w:color="auto" w:fill="auto"/>
            <w:vAlign w:val="center"/>
            <w:hideMark/>
          </w:tcPr>
          <w:p w14:paraId="1DBC8202" w14:textId="77777777" w:rsidR="00B31E32" w:rsidRPr="00B31E32" w:rsidRDefault="00B31E32" w:rsidP="00B31E32">
            <w:pPr>
              <w:jc w:val="right"/>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center"/>
            <w:hideMark/>
          </w:tcPr>
          <w:p w14:paraId="63D44A03"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31.200</w:t>
            </w:r>
          </w:p>
        </w:tc>
      </w:tr>
      <w:tr w:rsidR="00B31E32" w:rsidRPr="00B31E32" w14:paraId="3A674C5A" w14:textId="77777777" w:rsidTr="007F1A20">
        <w:trPr>
          <w:trHeight w:val="300"/>
          <w:jc w:val="center"/>
        </w:trPr>
        <w:tc>
          <w:tcPr>
            <w:tcW w:w="1143" w:type="dxa"/>
            <w:tcBorders>
              <w:top w:val="nil"/>
              <w:left w:val="single" w:sz="4" w:space="0" w:color="auto"/>
              <w:bottom w:val="nil"/>
              <w:right w:val="nil"/>
            </w:tcBorders>
            <w:shd w:val="clear" w:color="auto" w:fill="auto"/>
            <w:hideMark/>
          </w:tcPr>
          <w:p w14:paraId="3B43EAA2"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4</w:t>
            </w:r>
          </w:p>
        </w:tc>
        <w:tc>
          <w:tcPr>
            <w:tcW w:w="185" w:type="dxa"/>
            <w:tcBorders>
              <w:top w:val="nil"/>
              <w:left w:val="nil"/>
              <w:bottom w:val="nil"/>
              <w:right w:val="nil"/>
            </w:tcBorders>
            <w:shd w:val="clear" w:color="auto" w:fill="auto"/>
            <w:hideMark/>
          </w:tcPr>
          <w:p w14:paraId="378D1966"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center"/>
            <w:hideMark/>
          </w:tcPr>
          <w:p w14:paraId="3B144202"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15.000</w:t>
            </w:r>
          </w:p>
        </w:tc>
        <w:tc>
          <w:tcPr>
            <w:tcW w:w="185" w:type="dxa"/>
            <w:tcBorders>
              <w:top w:val="nil"/>
              <w:left w:val="nil"/>
              <w:bottom w:val="nil"/>
              <w:right w:val="nil"/>
            </w:tcBorders>
            <w:shd w:val="clear" w:color="auto" w:fill="auto"/>
            <w:vAlign w:val="center"/>
            <w:hideMark/>
          </w:tcPr>
          <w:p w14:paraId="13352C68" w14:textId="77777777" w:rsidR="00B31E32" w:rsidRPr="00B31E32" w:rsidRDefault="00B31E32" w:rsidP="00B31E32">
            <w:pPr>
              <w:jc w:val="right"/>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center"/>
            <w:hideMark/>
          </w:tcPr>
          <w:p w14:paraId="79F557E9"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20.000</w:t>
            </w:r>
          </w:p>
        </w:tc>
        <w:tc>
          <w:tcPr>
            <w:tcW w:w="1144" w:type="dxa"/>
            <w:tcBorders>
              <w:top w:val="nil"/>
              <w:left w:val="nil"/>
              <w:bottom w:val="nil"/>
              <w:right w:val="nil"/>
            </w:tcBorders>
            <w:shd w:val="clear" w:color="auto" w:fill="auto"/>
            <w:vAlign w:val="center"/>
            <w:hideMark/>
          </w:tcPr>
          <w:p w14:paraId="543A8672"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31.200</w:t>
            </w:r>
          </w:p>
        </w:tc>
        <w:tc>
          <w:tcPr>
            <w:tcW w:w="185" w:type="dxa"/>
            <w:tcBorders>
              <w:top w:val="nil"/>
              <w:left w:val="nil"/>
              <w:bottom w:val="nil"/>
              <w:right w:val="nil"/>
            </w:tcBorders>
            <w:shd w:val="clear" w:color="auto" w:fill="auto"/>
            <w:vAlign w:val="center"/>
            <w:hideMark/>
          </w:tcPr>
          <w:p w14:paraId="6444A68B" w14:textId="77777777" w:rsidR="00B31E32" w:rsidRPr="00B31E32" w:rsidRDefault="00B31E32" w:rsidP="00B31E32">
            <w:pPr>
              <w:jc w:val="right"/>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center"/>
            <w:hideMark/>
          </w:tcPr>
          <w:p w14:paraId="38B60840"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39.600</w:t>
            </w:r>
          </w:p>
        </w:tc>
      </w:tr>
      <w:tr w:rsidR="00B31E32" w:rsidRPr="00B31E32" w14:paraId="03C1B42A" w14:textId="77777777" w:rsidTr="007F1A20">
        <w:trPr>
          <w:trHeight w:val="300"/>
          <w:jc w:val="center"/>
        </w:trPr>
        <w:tc>
          <w:tcPr>
            <w:tcW w:w="1143" w:type="dxa"/>
            <w:tcBorders>
              <w:top w:val="nil"/>
              <w:left w:val="single" w:sz="4" w:space="0" w:color="auto"/>
              <w:bottom w:val="nil"/>
              <w:right w:val="nil"/>
            </w:tcBorders>
            <w:shd w:val="clear" w:color="auto" w:fill="auto"/>
            <w:hideMark/>
          </w:tcPr>
          <w:p w14:paraId="27E8EF04"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5</w:t>
            </w:r>
          </w:p>
        </w:tc>
        <w:tc>
          <w:tcPr>
            <w:tcW w:w="185" w:type="dxa"/>
            <w:tcBorders>
              <w:top w:val="nil"/>
              <w:left w:val="nil"/>
              <w:bottom w:val="nil"/>
              <w:right w:val="nil"/>
            </w:tcBorders>
            <w:shd w:val="clear" w:color="auto" w:fill="auto"/>
            <w:hideMark/>
          </w:tcPr>
          <w:p w14:paraId="2E262985"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center"/>
            <w:hideMark/>
          </w:tcPr>
          <w:p w14:paraId="0913AE95"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20.000</w:t>
            </w:r>
          </w:p>
        </w:tc>
        <w:tc>
          <w:tcPr>
            <w:tcW w:w="185" w:type="dxa"/>
            <w:tcBorders>
              <w:top w:val="nil"/>
              <w:left w:val="nil"/>
              <w:bottom w:val="nil"/>
              <w:right w:val="nil"/>
            </w:tcBorders>
            <w:shd w:val="clear" w:color="auto" w:fill="auto"/>
            <w:vAlign w:val="center"/>
            <w:hideMark/>
          </w:tcPr>
          <w:p w14:paraId="531D46BF" w14:textId="77777777" w:rsidR="00B31E32" w:rsidRPr="00B31E32" w:rsidRDefault="00B31E32" w:rsidP="00B31E32">
            <w:pPr>
              <w:jc w:val="right"/>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center"/>
            <w:hideMark/>
          </w:tcPr>
          <w:p w14:paraId="252FE534"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24.000</w:t>
            </w:r>
          </w:p>
        </w:tc>
        <w:tc>
          <w:tcPr>
            <w:tcW w:w="1144" w:type="dxa"/>
            <w:tcBorders>
              <w:top w:val="nil"/>
              <w:left w:val="nil"/>
              <w:bottom w:val="nil"/>
              <w:right w:val="nil"/>
            </w:tcBorders>
            <w:shd w:val="clear" w:color="auto" w:fill="auto"/>
            <w:vAlign w:val="center"/>
            <w:hideMark/>
          </w:tcPr>
          <w:p w14:paraId="3978D13C"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39.600</w:t>
            </w:r>
          </w:p>
        </w:tc>
        <w:tc>
          <w:tcPr>
            <w:tcW w:w="185" w:type="dxa"/>
            <w:tcBorders>
              <w:top w:val="nil"/>
              <w:left w:val="nil"/>
              <w:bottom w:val="nil"/>
              <w:right w:val="nil"/>
            </w:tcBorders>
            <w:shd w:val="clear" w:color="auto" w:fill="auto"/>
            <w:vAlign w:val="center"/>
            <w:hideMark/>
          </w:tcPr>
          <w:p w14:paraId="6AFFC05D" w14:textId="77777777" w:rsidR="00B31E32" w:rsidRPr="00B31E32" w:rsidRDefault="00B31E32" w:rsidP="00B31E32">
            <w:pPr>
              <w:jc w:val="right"/>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center"/>
            <w:hideMark/>
          </w:tcPr>
          <w:p w14:paraId="70839A41"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46.500</w:t>
            </w:r>
          </w:p>
        </w:tc>
      </w:tr>
      <w:tr w:rsidR="00B31E32" w:rsidRPr="00B31E32" w14:paraId="2FFC5EF8" w14:textId="77777777" w:rsidTr="007F1A20">
        <w:trPr>
          <w:trHeight w:val="300"/>
          <w:jc w:val="center"/>
        </w:trPr>
        <w:tc>
          <w:tcPr>
            <w:tcW w:w="1143" w:type="dxa"/>
            <w:tcBorders>
              <w:top w:val="nil"/>
              <w:left w:val="single" w:sz="4" w:space="0" w:color="auto"/>
              <w:bottom w:val="nil"/>
              <w:right w:val="nil"/>
            </w:tcBorders>
            <w:shd w:val="clear" w:color="auto" w:fill="auto"/>
            <w:hideMark/>
          </w:tcPr>
          <w:p w14:paraId="39296F2C"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6</w:t>
            </w:r>
          </w:p>
        </w:tc>
        <w:tc>
          <w:tcPr>
            <w:tcW w:w="185" w:type="dxa"/>
            <w:tcBorders>
              <w:top w:val="nil"/>
              <w:left w:val="nil"/>
              <w:bottom w:val="nil"/>
              <w:right w:val="nil"/>
            </w:tcBorders>
            <w:shd w:val="clear" w:color="auto" w:fill="auto"/>
            <w:hideMark/>
          </w:tcPr>
          <w:p w14:paraId="059AC281"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center"/>
            <w:hideMark/>
          </w:tcPr>
          <w:p w14:paraId="1D248856"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24.000</w:t>
            </w:r>
          </w:p>
        </w:tc>
        <w:tc>
          <w:tcPr>
            <w:tcW w:w="185" w:type="dxa"/>
            <w:tcBorders>
              <w:top w:val="nil"/>
              <w:left w:val="nil"/>
              <w:bottom w:val="nil"/>
              <w:right w:val="nil"/>
            </w:tcBorders>
            <w:shd w:val="clear" w:color="auto" w:fill="auto"/>
            <w:vAlign w:val="center"/>
            <w:hideMark/>
          </w:tcPr>
          <w:p w14:paraId="1D8F0AEF" w14:textId="77777777" w:rsidR="00B31E32" w:rsidRPr="00B31E32" w:rsidRDefault="00B31E32" w:rsidP="00B31E32">
            <w:pPr>
              <w:jc w:val="right"/>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center"/>
            <w:hideMark/>
          </w:tcPr>
          <w:p w14:paraId="13A33570"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29.000</w:t>
            </w:r>
          </w:p>
        </w:tc>
        <w:tc>
          <w:tcPr>
            <w:tcW w:w="1144" w:type="dxa"/>
            <w:tcBorders>
              <w:top w:val="nil"/>
              <w:left w:val="nil"/>
              <w:bottom w:val="nil"/>
              <w:right w:val="nil"/>
            </w:tcBorders>
            <w:shd w:val="clear" w:color="auto" w:fill="auto"/>
            <w:vAlign w:val="center"/>
            <w:hideMark/>
          </w:tcPr>
          <w:p w14:paraId="7745CF85"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46.500</w:t>
            </w:r>
          </w:p>
        </w:tc>
        <w:tc>
          <w:tcPr>
            <w:tcW w:w="185" w:type="dxa"/>
            <w:tcBorders>
              <w:top w:val="nil"/>
              <w:left w:val="nil"/>
              <w:bottom w:val="nil"/>
              <w:right w:val="nil"/>
            </w:tcBorders>
            <w:shd w:val="clear" w:color="auto" w:fill="auto"/>
            <w:vAlign w:val="center"/>
            <w:hideMark/>
          </w:tcPr>
          <w:p w14:paraId="4C37063F" w14:textId="77777777" w:rsidR="00B31E32" w:rsidRPr="00B31E32" w:rsidRDefault="00B31E32" w:rsidP="00B31E32">
            <w:pPr>
              <w:jc w:val="right"/>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center"/>
            <w:hideMark/>
          </w:tcPr>
          <w:p w14:paraId="75F76C23"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56.500</w:t>
            </w:r>
          </w:p>
        </w:tc>
      </w:tr>
      <w:tr w:rsidR="00B31E32" w:rsidRPr="00B31E32" w14:paraId="385D4026" w14:textId="77777777" w:rsidTr="007F1A20">
        <w:trPr>
          <w:trHeight w:val="300"/>
          <w:jc w:val="center"/>
        </w:trPr>
        <w:tc>
          <w:tcPr>
            <w:tcW w:w="1143" w:type="dxa"/>
            <w:tcBorders>
              <w:top w:val="nil"/>
              <w:left w:val="single" w:sz="4" w:space="0" w:color="auto"/>
              <w:bottom w:val="nil"/>
              <w:right w:val="nil"/>
            </w:tcBorders>
            <w:shd w:val="clear" w:color="auto" w:fill="auto"/>
            <w:hideMark/>
          </w:tcPr>
          <w:p w14:paraId="7FD42B6E"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7</w:t>
            </w:r>
          </w:p>
        </w:tc>
        <w:tc>
          <w:tcPr>
            <w:tcW w:w="185" w:type="dxa"/>
            <w:tcBorders>
              <w:top w:val="nil"/>
              <w:left w:val="nil"/>
              <w:bottom w:val="nil"/>
              <w:right w:val="nil"/>
            </w:tcBorders>
            <w:shd w:val="clear" w:color="auto" w:fill="auto"/>
            <w:hideMark/>
          </w:tcPr>
          <w:p w14:paraId="099304EA"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center"/>
            <w:hideMark/>
          </w:tcPr>
          <w:p w14:paraId="6830327D"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29.000</w:t>
            </w:r>
          </w:p>
        </w:tc>
        <w:tc>
          <w:tcPr>
            <w:tcW w:w="185" w:type="dxa"/>
            <w:tcBorders>
              <w:top w:val="nil"/>
              <w:left w:val="nil"/>
              <w:bottom w:val="nil"/>
              <w:right w:val="nil"/>
            </w:tcBorders>
            <w:shd w:val="clear" w:color="auto" w:fill="auto"/>
            <w:vAlign w:val="center"/>
            <w:hideMark/>
          </w:tcPr>
          <w:p w14:paraId="1C0DC911" w14:textId="77777777" w:rsidR="00B31E32" w:rsidRPr="00B31E32" w:rsidRDefault="00B31E32" w:rsidP="00B31E32">
            <w:pPr>
              <w:jc w:val="right"/>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center"/>
            <w:hideMark/>
          </w:tcPr>
          <w:p w14:paraId="57E75AFB"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33.000</w:t>
            </w:r>
          </w:p>
        </w:tc>
        <w:tc>
          <w:tcPr>
            <w:tcW w:w="1144" w:type="dxa"/>
            <w:tcBorders>
              <w:top w:val="nil"/>
              <w:left w:val="nil"/>
              <w:bottom w:val="nil"/>
              <w:right w:val="nil"/>
            </w:tcBorders>
            <w:shd w:val="clear" w:color="auto" w:fill="auto"/>
            <w:vAlign w:val="center"/>
            <w:hideMark/>
          </w:tcPr>
          <w:p w14:paraId="619A25CD"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56.600</w:t>
            </w:r>
          </w:p>
        </w:tc>
        <w:tc>
          <w:tcPr>
            <w:tcW w:w="185" w:type="dxa"/>
            <w:tcBorders>
              <w:top w:val="nil"/>
              <w:left w:val="nil"/>
              <w:bottom w:val="nil"/>
              <w:right w:val="nil"/>
            </w:tcBorders>
            <w:shd w:val="clear" w:color="auto" w:fill="auto"/>
            <w:vAlign w:val="center"/>
            <w:hideMark/>
          </w:tcPr>
          <w:p w14:paraId="71A90269" w14:textId="77777777" w:rsidR="00B31E32" w:rsidRPr="00B31E32" w:rsidRDefault="00B31E32" w:rsidP="00B31E32">
            <w:pPr>
              <w:jc w:val="right"/>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center"/>
            <w:hideMark/>
          </w:tcPr>
          <w:p w14:paraId="7BCE6748"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70.000</w:t>
            </w:r>
          </w:p>
        </w:tc>
      </w:tr>
      <w:tr w:rsidR="00B31E32" w:rsidRPr="00B31E32" w14:paraId="11704D0A" w14:textId="77777777" w:rsidTr="007F1A20">
        <w:trPr>
          <w:trHeight w:val="300"/>
          <w:jc w:val="center"/>
        </w:trPr>
        <w:tc>
          <w:tcPr>
            <w:tcW w:w="1143" w:type="dxa"/>
            <w:tcBorders>
              <w:top w:val="nil"/>
              <w:left w:val="single" w:sz="4" w:space="0" w:color="auto"/>
              <w:bottom w:val="nil"/>
              <w:right w:val="nil"/>
            </w:tcBorders>
            <w:shd w:val="clear" w:color="auto" w:fill="auto"/>
            <w:hideMark/>
          </w:tcPr>
          <w:p w14:paraId="6C72C98B"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8</w:t>
            </w:r>
          </w:p>
        </w:tc>
        <w:tc>
          <w:tcPr>
            <w:tcW w:w="185" w:type="dxa"/>
            <w:tcBorders>
              <w:top w:val="nil"/>
              <w:left w:val="nil"/>
              <w:bottom w:val="nil"/>
              <w:right w:val="nil"/>
            </w:tcBorders>
            <w:shd w:val="clear" w:color="auto" w:fill="auto"/>
            <w:hideMark/>
          </w:tcPr>
          <w:p w14:paraId="0AAACE3D"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center"/>
            <w:hideMark/>
          </w:tcPr>
          <w:p w14:paraId="55B6ADA3"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33.000</w:t>
            </w:r>
          </w:p>
        </w:tc>
        <w:tc>
          <w:tcPr>
            <w:tcW w:w="185" w:type="dxa"/>
            <w:tcBorders>
              <w:top w:val="nil"/>
              <w:left w:val="nil"/>
              <w:bottom w:val="nil"/>
              <w:right w:val="nil"/>
            </w:tcBorders>
            <w:shd w:val="clear" w:color="auto" w:fill="auto"/>
            <w:vAlign w:val="center"/>
            <w:hideMark/>
          </w:tcPr>
          <w:p w14:paraId="5C3017E3" w14:textId="77777777" w:rsidR="00B31E32" w:rsidRPr="00B31E32" w:rsidRDefault="00B31E32" w:rsidP="00B31E32">
            <w:pPr>
              <w:jc w:val="right"/>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center"/>
            <w:hideMark/>
          </w:tcPr>
          <w:p w14:paraId="3C1138DB"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40.000</w:t>
            </w:r>
          </w:p>
        </w:tc>
        <w:tc>
          <w:tcPr>
            <w:tcW w:w="1144" w:type="dxa"/>
            <w:tcBorders>
              <w:top w:val="nil"/>
              <w:left w:val="nil"/>
              <w:bottom w:val="nil"/>
              <w:right w:val="nil"/>
            </w:tcBorders>
            <w:shd w:val="clear" w:color="auto" w:fill="auto"/>
            <w:vAlign w:val="center"/>
            <w:hideMark/>
          </w:tcPr>
          <w:p w14:paraId="7BBEF7C8"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70.000</w:t>
            </w:r>
          </w:p>
        </w:tc>
        <w:tc>
          <w:tcPr>
            <w:tcW w:w="185" w:type="dxa"/>
            <w:tcBorders>
              <w:top w:val="nil"/>
              <w:left w:val="nil"/>
              <w:bottom w:val="nil"/>
              <w:right w:val="nil"/>
            </w:tcBorders>
            <w:shd w:val="clear" w:color="auto" w:fill="auto"/>
            <w:vAlign w:val="center"/>
            <w:hideMark/>
          </w:tcPr>
          <w:p w14:paraId="6834A5C5" w14:textId="77777777" w:rsidR="00B31E32" w:rsidRPr="00B31E32" w:rsidRDefault="00B31E32" w:rsidP="00B31E32">
            <w:pPr>
              <w:jc w:val="right"/>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center"/>
            <w:hideMark/>
          </w:tcPr>
          <w:p w14:paraId="46C868FB"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86.000</w:t>
            </w:r>
          </w:p>
        </w:tc>
      </w:tr>
      <w:tr w:rsidR="00B31E32" w:rsidRPr="00B31E32" w14:paraId="514501FE" w14:textId="77777777" w:rsidTr="007F1A20">
        <w:trPr>
          <w:trHeight w:val="300"/>
          <w:jc w:val="center"/>
        </w:trPr>
        <w:tc>
          <w:tcPr>
            <w:tcW w:w="1143" w:type="dxa"/>
            <w:tcBorders>
              <w:top w:val="nil"/>
              <w:left w:val="single" w:sz="4" w:space="0" w:color="auto"/>
              <w:bottom w:val="nil"/>
              <w:right w:val="nil"/>
            </w:tcBorders>
            <w:shd w:val="clear" w:color="auto" w:fill="auto"/>
            <w:hideMark/>
          </w:tcPr>
          <w:p w14:paraId="1C4822AC"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9</w:t>
            </w:r>
          </w:p>
        </w:tc>
        <w:tc>
          <w:tcPr>
            <w:tcW w:w="185" w:type="dxa"/>
            <w:tcBorders>
              <w:top w:val="nil"/>
              <w:left w:val="nil"/>
              <w:bottom w:val="nil"/>
              <w:right w:val="nil"/>
            </w:tcBorders>
            <w:shd w:val="clear" w:color="auto" w:fill="auto"/>
            <w:hideMark/>
          </w:tcPr>
          <w:p w14:paraId="1666D024" w14:textId="77777777" w:rsidR="00B31E32" w:rsidRPr="00B31E32" w:rsidRDefault="00B31E32" w:rsidP="00B31E32">
            <w:pPr>
              <w:rPr>
                <w:rFonts w:ascii="Arial" w:eastAsia="Times New Roman" w:hAnsi="Arial" w:cs="Arial"/>
                <w:sz w:val="16"/>
                <w:szCs w:val="16"/>
                <w:lang w:eastAsia="es-AR"/>
              </w:rPr>
            </w:pPr>
          </w:p>
        </w:tc>
        <w:tc>
          <w:tcPr>
            <w:tcW w:w="1134" w:type="dxa"/>
            <w:tcBorders>
              <w:top w:val="nil"/>
              <w:left w:val="nil"/>
              <w:bottom w:val="nil"/>
              <w:right w:val="nil"/>
            </w:tcBorders>
            <w:shd w:val="clear" w:color="auto" w:fill="auto"/>
            <w:vAlign w:val="center"/>
            <w:hideMark/>
          </w:tcPr>
          <w:p w14:paraId="014BBCA4"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40.000</w:t>
            </w:r>
          </w:p>
        </w:tc>
        <w:tc>
          <w:tcPr>
            <w:tcW w:w="185" w:type="dxa"/>
            <w:tcBorders>
              <w:top w:val="nil"/>
              <w:left w:val="nil"/>
              <w:bottom w:val="nil"/>
              <w:right w:val="nil"/>
            </w:tcBorders>
            <w:shd w:val="clear" w:color="auto" w:fill="auto"/>
            <w:vAlign w:val="center"/>
            <w:hideMark/>
          </w:tcPr>
          <w:p w14:paraId="51907E99" w14:textId="77777777" w:rsidR="00B31E32" w:rsidRPr="00B31E32" w:rsidRDefault="00B31E32" w:rsidP="00B31E32">
            <w:pPr>
              <w:jc w:val="right"/>
              <w:rPr>
                <w:rFonts w:ascii="Arial" w:eastAsia="Times New Roman" w:hAnsi="Arial" w:cs="Arial"/>
                <w:sz w:val="16"/>
                <w:szCs w:val="16"/>
                <w:lang w:eastAsia="es-AR"/>
              </w:rPr>
            </w:pPr>
          </w:p>
        </w:tc>
        <w:tc>
          <w:tcPr>
            <w:tcW w:w="1144" w:type="dxa"/>
            <w:tcBorders>
              <w:top w:val="nil"/>
              <w:left w:val="nil"/>
              <w:bottom w:val="nil"/>
              <w:right w:val="nil"/>
            </w:tcBorders>
            <w:shd w:val="clear" w:color="auto" w:fill="auto"/>
            <w:vAlign w:val="center"/>
            <w:hideMark/>
          </w:tcPr>
          <w:p w14:paraId="2F559511"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54.000</w:t>
            </w:r>
          </w:p>
        </w:tc>
        <w:tc>
          <w:tcPr>
            <w:tcW w:w="1144" w:type="dxa"/>
            <w:tcBorders>
              <w:top w:val="nil"/>
              <w:left w:val="nil"/>
              <w:bottom w:val="nil"/>
              <w:right w:val="nil"/>
            </w:tcBorders>
            <w:shd w:val="clear" w:color="auto" w:fill="auto"/>
            <w:vAlign w:val="center"/>
            <w:hideMark/>
          </w:tcPr>
          <w:p w14:paraId="0144782F"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86.000</w:t>
            </w:r>
          </w:p>
        </w:tc>
        <w:tc>
          <w:tcPr>
            <w:tcW w:w="185" w:type="dxa"/>
            <w:tcBorders>
              <w:top w:val="nil"/>
              <w:left w:val="nil"/>
              <w:bottom w:val="nil"/>
              <w:right w:val="nil"/>
            </w:tcBorders>
            <w:shd w:val="clear" w:color="auto" w:fill="auto"/>
            <w:vAlign w:val="center"/>
            <w:hideMark/>
          </w:tcPr>
          <w:p w14:paraId="3AC34FBB" w14:textId="77777777" w:rsidR="00B31E32" w:rsidRPr="00B31E32" w:rsidRDefault="00B31E32" w:rsidP="00B31E32">
            <w:pPr>
              <w:jc w:val="right"/>
              <w:rPr>
                <w:rFonts w:ascii="Arial" w:eastAsia="Times New Roman" w:hAnsi="Arial" w:cs="Arial"/>
                <w:sz w:val="16"/>
                <w:szCs w:val="16"/>
                <w:lang w:eastAsia="es-AR"/>
              </w:rPr>
            </w:pPr>
          </w:p>
        </w:tc>
        <w:tc>
          <w:tcPr>
            <w:tcW w:w="1160" w:type="dxa"/>
            <w:tcBorders>
              <w:top w:val="nil"/>
              <w:left w:val="nil"/>
              <w:bottom w:val="nil"/>
              <w:right w:val="single" w:sz="4" w:space="0" w:color="auto"/>
            </w:tcBorders>
            <w:shd w:val="clear" w:color="auto" w:fill="auto"/>
            <w:vAlign w:val="center"/>
            <w:hideMark/>
          </w:tcPr>
          <w:p w14:paraId="71D69CA9"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116.000</w:t>
            </w:r>
          </w:p>
        </w:tc>
      </w:tr>
      <w:tr w:rsidR="00B31E32" w:rsidRPr="00B31E32" w14:paraId="0A86078A" w14:textId="77777777" w:rsidTr="007F1A20">
        <w:trPr>
          <w:trHeight w:val="300"/>
          <w:jc w:val="center"/>
        </w:trPr>
        <w:tc>
          <w:tcPr>
            <w:tcW w:w="1143" w:type="dxa"/>
            <w:tcBorders>
              <w:top w:val="nil"/>
              <w:left w:val="single" w:sz="4" w:space="0" w:color="auto"/>
              <w:bottom w:val="single" w:sz="4" w:space="0" w:color="auto"/>
              <w:right w:val="nil"/>
            </w:tcBorders>
            <w:shd w:val="clear" w:color="auto" w:fill="auto"/>
            <w:hideMark/>
          </w:tcPr>
          <w:p w14:paraId="5F6A5E30" w14:textId="77777777" w:rsidR="00B31E32" w:rsidRPr="00B31E32" w:rsidRDefault="00B31E32" w:rsidP="00B31E32">
            <w:pPr>
              <w:jc w:val="center"/>
              <w:rPr>
                <w:rFonts w:ascii="Arial" w:eastAsia="Times New Roman" w:hAnsi="Arial" w:cs="Arial"/>
                <w:sz w:val="16"/>
                <w:szCs w:val="16"/>
                <w:lang w:eastAsia="es-AR"/>
              </w:rPr>
            </w:pPr>
            <w:r w:rsidRPr="00B31E32">
              <w:rPr>
                <w:rFonts w:ascii="Arial" w:eastAsia="Times New Roman" w:hAnsi="Arial" w:cs="Arial"/>
                <w:sz w:val="16"/>
                <w:szCs w:val="16"/>
                <w:lang w:eastAsia="es-AR"/>
              </w:rPr>
              <w:t>10</w:t>
            </w:r>
          </w:p>
        </w:tc>
        <w:tc>
          <w:tcPr>
            <w:tcW w:w="185" w:type="dxa"/>
            <w:tcBorders>
              <w:top w:val="nil"/>
              <w:left w:val="nil"/>
              <w:bottom w:val="single" w:sz="4" w:space="0" w:color="auto"/>
              <w:right w:val="nil"/>
            </w:tcBorders>
            <w:shd w:val="clear" w:color="auto" w:fill="auto"/>
            <w:hideMark/>
          </w:tcPr>
          <w:p w14:paraId="0EAC4D61" w14:textId="77777777" w:rsidR="00B31E32" w:rsidRPr="00B31E32" w:rsidRDefault="00B31E32" w:rsidP="00B31E32">
            <w:pPr>
              <w:rPr>
                <w:rFonts w:ascii="Arial" w:eastAsia="Times New Roman" w:hAnsi="Arial" w:cs="Arial"/>
                <w:sz w:val="16"/>
                <w:szCs w:val="16"/>
                <w:lang w:eastAsia="es-AR"/>
              </w:rPr>
            </w:pPr>
            <w:r w:rsidRPr="00B31E32">
              <w:rPr>
                <w:rFonts w:ascii="Arial" w:eastAsia="Times New Roman" w:hAnsi="Arial" w:cs="Arial"/>
                <w:sz w:val="16"/>
                <w:szCs w:val="16"/>
                <w:lang w:eastAsia="es-AR"/>
              </w:rPr>
              <w:t> </w:t>
            </w:r>
          </w:p>
        </w:tc>
        <w:tc>
          <w:tcPr>
            <w:tcW w:w="1134" w:type="dxa"/>
            <w:tcBorders>
              <w:top w:val="nil"/>
              <w:left w:val="nil"/>
              <w:bottom w:val="single" w:sz="4" w:space="0" w:color="auto"/>
              <w:right w:val="nil"/>
            </w:tcBorders>
            <w:shd w:val="clear" w:color="auto" w:fill="auto"/>
            <w:vAlign w:val="center"/>
            <w:hideMark/>
          </w:tcPr>
          <w:p w14:paraId="032131F9"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54.500</w:t>
            </w:r>
          </w:p>
        </w:tc>
        <w:tc>
          <w:tcPr>
            <w:tcW w:w="185" w:type="dxa"/>
            <w:tcBorders>
              <w:top w:val="nil"/>
              <w:left w:val="nil"/>
              <w:bottom w:val="single" w:sz="4" w:space="0" w:color="auto"/>
              <w:right w:val="nil"/>
            </w:tcBorders>
            <w:shd w:val="clear" w:color="auto" w:fill="auto"/>
            <w:vAlign w:val="center"/>
            <w:hideMark/>
          </w:tcPr>
          <w:p w14:paraId="2B86C59F"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 </w:t>
            </w:r>
          </w:p>
        </w:tc>
        <w:tc>
          <w:tcPr>
            <w:tcW w:w="1144" w:type="dxa"/>
            <w:tcBorders>
              <w:top w:val="nil"/>
              <w:left w:val="nil"/>
              <w:bottom w:val="single" w:sz="4" w:space="0" w:color="auto"/>
              <w:right w:val="nil"/>
            </w:tcBorders>
            <w:shd w:val="clear" w:color="auto" w:fill="auto"/>
            <w:vAlign w:val="center"/>
            <w:hideMark/>
          </w:tcPr>
          <w:p w14:paraId="6C582606"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500.000</w:t>
            </w:r>
          </w:p>
        </w:tc>
        <w:tc>
          <w:tcPr>
            <w:tcW w:w="1144" w:type="dxa"/>
            <w:tcBorders>
              <w:top w:val="nil"/>
              <w:left w:val="nil"/>
              <w:bottom w:val="single" w:sz="4" w:space="0" w:color="auto"/>
              <w:right w:val="nil"/>
            </w:tcBorders>
            <w:shd w:val="clear" w:color="auto" w:fill="auto"/>
            <w:vAlign w:val="center"/>
            <w:hideMark/>
          </w:tcPr>
          <w:p w14:paraId="0CB7AD0B"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116.170</w:t>
            </w:r>
          </w:p>
        </w:tc>
        <w:tc>
          <w:tcPr>
            <w:tcW w:w="185" w:type="dxa"/>
            <w:tcBorders>
              <w:top w:val="nil"/>
              <w:left w:val="nil"/>
              <w:bottom w:val="single" w:sz="4" w:space="0" w:color="auto"/>
              <w:right w:val="nil"/>
            </w:tcBorders>
            <w:shd w:val="clear" w:color="auto" w:fill="auto"/>
            <w:vAlign w:val="center"/>
            <w:hideMark/>
          </w:tcPr>
          <w:p w14:paraId="7D763205"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 </w:t>
            </w:r>
          </w:p>
        </w:tc>
        <w:tc>
          <w:tcPr>
            <w:tcW w:w="1160" w:type="dxa"/>
            <w:tcBorders>
              <w:top w:val="nil"/>
              <w:left w:val="nil"/>
              <w:bottom w:val="single" w:sz="4" w:space="0" w:color="auto"/>
              <w:right w:val="single" w:sz="4" w:space="0" w:color="auto"/>
            </w:tcBorders>
            <w:shd w:val="clear" w:color="auto" w:fill="auto"/>
            <w:vAlign w:val="center"/>
            <w:hideMark/>
          </w:tcPr>
          <w:p w14:paraId="3A69DE68" w14:textId="77777777" w:rsidR="00B31E32" w:rsidRPr="00B31E32" w:rsidRDefault="00B31E32" w:rsidP="00B31E32">
            <w:pPr>
              <w:jc w:val="right"/>
              <w:rPr>
                <w:rFonts w:ascii="Arial" w:eastAsia="Times New Roman" w:hAnsi="Arial" w:cs="Arial"/>
                <w:sz w:val="16"/>
                <w:szCs w:val="16"/>
                <w:lang w:eastAsia="es-AR"/>
              </w:rPr>
            </w:pPr>
            <w:r w:rsidRPr="00B31E32">
              <w:rPr>
                <w:rFonts w:ascii="Arial" w:eastAsia="Times New Roman" w:hAnsi="Arial" w:cs="Arial"/>
                <w:sz w:val="16"/>
                <w:szCs w:val="16"/>
                <w:lang w:eastAsia="es-AR"/>
              </w:rPr>
              <w:t>8.805.000</w:t>
            </w:r>
          </w:p>
        </w:tc>
      </w:tr>
    </w:tbl>
    <w:p w14:paraId="52DBDEBF" w14:textId="77777777" w:rsidR="007F1A20" w:rsidRPr="007F1A20" w:rsidRDefault="007F1A20" w:rsidP="007F1A20">
      <w:pPr>
        <w:jc w:val="center"/>
        <w:rPr>
          <w:sz w:val="20"/>
          <w:szCs w:val="20"/>
          <w:lang w:val="es-ES"/>
        </w:rPr>
      </w:pPr>
      <w:r w:rsidRPr="007F1A20">
        <w:rPr>
          <w:sz w:val="20"/>
          <w:szCs w:val="20"/>
          <w:lang w:val="es-ES"/>
        </w:rPr>
        <w:t>Fuente: Elaboración propia en base a EPH-INDEC.</w:t>
      </w:r>
    </w:p>
    <w:p w14:paraId="57FD2645" w14:textId="77777777" w:rsidR="006F13CC" w:rsidRPr="00526BD6" w:rsidRDefault="006F13CC">
      <w:pPr>
        <w:rPr>
          <w:lang w:val="es-ES"/>
        </w:rPr>
      </w:pPr>
    </w:p>
    <w:sectPr w:rsidR="006F13CC" w:rsidRPr="00526B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D1001" w14:textId="77777777" w:rsidR="00464584" w:rsidRDefault="00464584" w:rsidP="00E56781">
      <w:r>
        <w:separator/>
      </w:r>
    </w:p>
  </w:endnote>
  <w:endnote w:type="continuationSeparator" w:id="0">
    <w:p w14:paraId="16325D4E" w14:textId="77777777" w:rsidR="00464584" w:rsidRDefault="00464584" w:rsidP="00E5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098F" w14:textId="77777777" w:rsidR="00464584" w:rsidRDefault="00464584" w:rsidP="00E56781">
      <w:r>
        <w:separator/>
      </w:r>
    </w:p>
  </w:footnote>
  <w:footnote w:type="continuationSeparator" w:id="0">
    <w:p w14:paraId="511C41AF" w14:textId="77777777" w:rsidR="00464584" w:rsidRDefault="00464584" w:rsidP="00E56781">
      <w:r>
        <w:continuationSeparator/>
      </w:r>
    </w:p>
  </w:footnote>
  <w:footnote w:id="1">
    <w:p w14:paraId="3F1DC248" w14:textId="77777777" w:rsidR="00B1771A" w:rsidRPr="00E56781" w:rsidRDefault="00B1771A" w:rsidP="00655AE0">
      <w:pPr>
        <w:pStyle w:val="Textonotapie"/>
        <w:jc w:val="both"/>
        <w:rPr>
          <w:lang w:val="es-ES"/>
        </w:rPr>
      </w:pPr>
      <w:r>
        <w:rPr>
          <w:rStyle w:val="Refdenotaalpie"/>
        </w:rPr>
        <w:footnoteRef/>
      </w:r>
      <w:r>
        <w:t xml:space="preserve"> </w:t>
      </w:r>
      <w:r w:rsidRPr="00E56781">
        <w:rPr>
          <w:lang w:val="es-ES"/>
        </w:rPr>
        <w:t xml:space="preserve">Ello se debe a que </w:t>
      </w:r>
      <w:r>
        <w:rPr>
          <w:lang w:val="es-ES"/>
        </w:rPr>
        <w:t>l</w:t>
      </w:r>
      <w:r w:rsidRPr="00E56781">
        <w:rPr>
          <w:lang w:val="es-ES"/>
        </w:rPr>
        <w:t>os</w:t>
      </w:r>
      <w:r>
        <w:rPr>
          <w:lang w:val="es-ES"/>
        </w:rPr>
        <w:t>/as</w:t>
      </w:r>
      <w:r w:rsidRPr="00E56781">
        <w:rPr>
          <w:lang w:val="es-ES"/>
        </w:rPr>
        <w:t xml:space="preserve"> asalariados</w:t>
      </w:r>
      <w:r>
        <w:rPr>
          <w:lang w:val="es-ES"/>
        </w:rPr>
        <w:t>/as</w:t>
      </w:r>
      <w:r w:rsidRPr="00E56781">
        <w:rPr>
          <w:lang w:val="es-ES"/>
        </w:rPr>
        <w:t xml:space="preserve"> que por ser formales perciben el SAC, se encuentran </w:t>
      </w:r>
      <w:r>
        <w:rPr>
          <w:lang w:val="es-ES"/>
        </w:rPr>
        <w:t xml:space="preserve">relativamente </w:t>
      </w:r>
      <w:r w:rsidRPr="00E56781">
        <w:rPr>
          <w:lang w:val="es-ES"/>
        </w:rPr>
        <w:t>mejor posicionados</w:t>
      </w:r>
      <w:r>
        <w:rPr>
          <w:lang w:val="es-ES"/>
        </w:rPr>
        <w:t>/as</w:t>
      </w:r>
      <w:r w:rsidRPr="00E56781">
        <w:rPr>
          <w:lang w:val="es-ES"/>
        </w:rPr>
        <w:t xml:space="preserve"> en la estructura distributiva que </w:t>
      </w:r>
      <w:r>
        <w:rPr>
          <w:lang w:val="es-ES"/>
        </w:rPr>
        <w:t>otros grupos poblacionales como los/as</w:t>
      </w:r>
      <w:r w:rsidRPr="00E56781">
        <w:rPr>
          <w:lang w:val="es-ES"/>
        </w:rPr>
        <w:t xml:space="preserve"> trabajadores informales.</w:t>
      </w:r>
    </w:p>
  </w:footnote>
  <w:footnote w:id="2">
    <w:p w14:paraId="73B307AA" w14:textId="77777777" w:rsidR="00B1771A" w:rsidRPr="004E302C" w:rsidRDefault="00B1771A" w:rsidP="004E302C">
      <w:pPr>
        <w:pStyle w:val="Textonotapie"/>
        <w:jc w:val="both"/>
        <w:rPr>
          <w:lang w:val="es-ES"/>
        </w:rPr>
      </w:pPr>
      <w:r>
        <w:rPr>
          <w:rStyle w:val="Refdenotaalpie"/>
        </w:rPr>
        <w:footnoteRef/>
      </w:r>
      <w:r>
        <w:t xml:space="preserve"> </w:t>
      </w:r>
      <w:r>
        <w:rPr>
          <w:lang w:val="es-ES"/>
        </w:rPr>
        <w:t>E</w:t>
      </w:r>
      <w:r w:rsidRPr="004E302C">
        <w:rPr>
          <w:lang w:val="es-ES"/>
        </w:rPr>
        <w:t xml:space="preserve">n principio </w:t>
      </w:r>
      <w:r>
        <w:rPr>
          <w:lang w:val="es-ES"/>
        </w:rPr>
        <w:t xml:space="preserve">ello </w:t>
      </w:r>
      <w:r w:rsidRPr="004E302C">
        <w:rPr>
          <w:lang w:val="es-ES"/>
        </w:rPr>
        <w:t xml:space="preserve">puede </w:t>
      </w:r>
      <w:r>
        <w:rPr>
          <w:lang w:val="es-ES"/>
        </w:rPr>
        <w:t>atribuirse</w:t>
      </w:r>
      <w:r w:rsidRPr="004E302C">
        <w:rPr>
          <w:lang w:val="es-ES"/>
        </w:rPr>
        <w:t xml:space="preserve"> a una leve </w:t>
      </w:r>
      <w:r>
        <w:rPr>
          <w:lang w:val="es-ES"/>
        </w:rPr>
        <w:t>caída</w:t>
      </w:r>
      <w:r w:rsidRPr="004E302C">
        <w:rPr>
          <w:lang w:val="es-ES"/>
        </w:rPr>
        <w:t xml:space="preserve"> del empleo en la construcción y en el servicio doméstico,</w:t>
      </w:r>
      <w:r>
        <w:rPr>
          <w:lang w:val="es-ES"/>
        </w:rPr>
        <w:t xml:space="preserve"> ocupaciones mayormente asociadas a ingresos bajos,</w:t>
      </w:r>
      <w:r w:rsidRPr="004E302C">
        <w:rPr>
          <w:lang w:val="es-ES"/>
        </w:rPr>
        <w:t xml:space="preserve"> aunque será necesario esperar a la publicación de la </w:t>
      </w:r>
      <w:r>
        <w:rPr>
          <w:lang w:val="es-ES"/>
        </w:rPr>
        <w:t>base de microdatos de la EPH para contar con mayores precisiones</w:t>
      </w:r>
      <w:r w:rsidRPr="004E302C">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6251"/>
    <w:multiLevelType w:val="hybridMultilevel"/>
    <w:tmpl w:val="0C7C5D36"/>
    <w:lvl w:ilvl="0" w:tplc="492C839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A56FD8"/>
    <w:multiLevelType w:val="hybridMultilevel"/>
    <w:tmpl w:val="802EE66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A4030F4"/>
    <w:multiLevelType w:val="hybridMultilevel"/>
    <w:tmpl w:val="94EE185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2EB420B"/>
    <w:multiLevelType w:val="hybridMultilevel"/>
    <w:tmpl w:val="34C25DC2"/>
    <w:lvl w:ilvl="0" w:tplc="600E900A">
      <w:start w:val="19"/>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6B11D1B"/>
    <w:multiLevelType w:val="hybridMultilevel"/>
    <w:tmpl w:val="8A2085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90A3C78"/>
    <w:multiLevelType w:val="hybridMultilevel"/>
    <w:tmpl w:val="1428A874"/>
    <w:lvl w:ilvl="0" w:tplc="E59AD64E">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BD6"/>
    <w:rsid w:val="00003953"/>
    <w:rsid w:val="000052CF"/>
    <w:rsid w:val="00015108"/>
    <w:rsid w:val="00023DD5"/>
    <w:rsid w:val="000512DA"/>
    <w:rsid w:val="000A7C9B"/>
    <w:rsid w:val="000C34C0"/>
    <w:rsid w:val="001363BB"/>
    <w:rsid w:val="00180B09"/>
    <w:rsid w:val="001D4803"/>
    <w:rsid w:val="00253305"/>
    <w:rsid w:val="00294212"/>
    <w:rsid w:val="00294CED"/>
    <w:rsid w:val="002A6AB4"/>
    <w:rsid w:val="00365C9F"/>
    <w:rsid w:val="003C2A09"/>
    <w:rsid w:val="003F284C"/>
    <w:rsid w:val="00464584"/>
    <w:rsid w:val="004E302C"/>
    <w:rsid w:val="00515101"/>
    <w:rsid w:val="00526BD6"/>
    <w:rsid w:val="00530C97"/>
    <w:rsid w:val="00543266"/>
    <w:rsid w:val="005D2BEA"/>
    <w:rsid w:val="006001D1"/>
    <w:rsid w:val="00632526"/>
    <w:rsid w:val="00633E45"/>
    <w:rsid w:val="00655AE0"/>
    <w:rsid w:val="006E58C7"/>
    <w:rsid w:val="006E67A2"/>
    <w:rsid w:val="006F13CC"/>
    <w:rsid w:val="007F1A20"/>
    <w:rsid w:val="008B53F9"/>
    <w:rsid w:val="008B661A"/>
    <w:rsid w:val="008C184D"/>
    <w:rsid w:val="009244E9"/>
    <w:rsid w:val="0099130B"/>
    <w:rsid w:val="00B1771A"/>
    <w:rsid w:val="00B31E32"/>
    <w:rsid w:val="00BB1BAF"/>
    <w:rsid w:val="00BE2998"/>
    <w:rsid w:val="00DF18A6"/>
    <w:rsid w:val="00E01084"/>
    <w:rsid w:val="00E56781"/>
    <w:rsid w:val="00EB43D0"/>
    <w:rsid w:val="00F33B4A"/>
    <w:rsid w:val="00F839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AD28"/>
  <w15:docId w15:val="{FB3B5F09-B15D-4222-A73E-C8EB7454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3DD5"/>
    <w:pPr>
      <w:ind w:left="720"/>
      <w:contextualSpacing/>
    </w:pPr>
  </w:style>
  <w:style w:type="paragraph" w:styleId="Textonotapie">
    <w:name w:val="footnote text"/>
    <w:basedOn w:val="Normal"/>
    <w:link w:val="TextonotapieCar"/>
    <w:uiPriority w:val="99"/>
    <w:semiHidden/>
    <w:unhideWhenUsed/>
    <w:rsid w:val="00E56781"/>
    <w:rPr>
      <w:sz w:val="20"/>
      <w:szCs w:val="20"/>
    </w:rPr>
  </w:style>
  <w:style w:type="character" w:customStyle="1" w:styleId="TextonotapieCar">
    <w:name w:val="Texto nota pie Car"/>
    <w:basedOn w:val="Fuentedeprrafopredeter"/>
    <w:link w:val="Textonotapie"/>
    <w:uiPriority w:val="99"/>
    <w:semiHidden/>
    <w:rsid w:val="00E56781"/>
    <w:rPr>
      <w:sz w:val="20"/>
      <w:szCs w:val="20"/>
    </w:rPr>
  </w:style>
  <w:style w:type="character" w:styleId="Refdenotaalpie">
    <w:name w:val="footnote reference"/>
    <w:basedOn w:val="Fuentedeprrafopredeter"/>
    <w:uiPriority w:val="99"/>
    <w:semiHidden/>
    <w:unhideWhenUsed/>
    <w:rsid w:val="00E56781"/>
    <w:rPr>
      <w:vertAlign w:val="superscript"/>
    </w:rPr>
  </w:style>
  <w:style w:type="paragraph" w:styleId="Textodeglobo">
    <w:name w:val="Balloon Text"/>
    <w:basedOn w:val="Normal"/>
    <w:link w:val="TextodegloboCar"/>
    <w:uiPriority w:val="99"/>
    <w:semiHidden/>
    <w:unhideWhenUsed/>
    <w:rsid w:val="00DF18A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88454">
      <w:bodyDiv w:val="1"/>
      <w:marLeft w:val="0"/>
      <w:marRight w:val="0"/>
      <w:marTop w:val="0"/>
      <w:marBottom w:val="0"/>
      <w:divBdr>
        <w:top w:val="none" w:sz="0" w:space="0" w:color="auto"/>
        <w:left w:val="none" w:sz="0" w:space="0" w:color="auto"/>
        <w:bottom w:val="none" w:sz="0" w:space="0" w:color="auto"/>
        <w:right w:val="none" w:sz="0" w:space="0" w:color="auto"/>
      </w:divBdr>
    </w:div>
    <w:div w:id="1335910511">
      <w:bodyDiv w:val="1"/>
      <w:marLeft w:val="0"/>
      <w:marRight w:val="0"/>
      <w:marTop w:val="0"/>
      <w:marBottom w:val="0"/>
      <w:divBdr>
        <w:top w:val="none" w:sz="0" w:space="0" w:color="auto"/>
        <w:left w:val="none" w:sz="0" w:space="0" w:color="auto"/>
        <w:bottom w:val="none" w:sz="0" w:space="0" w:color="auto"/>
        <w:right w:val="none" w:sz="0" w:space="0" w:color="auto"/>
      </w:divBdr>
    </w:div>
    <w:div w:id="15620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ustina_2\Documents\IPYPP\Series%20an&#225;lisis%20ingresos%20TAU_sin%20procesa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'Relación de dependencia'!$T$32</c:f>
              <c:strCache>
                <c:ptCount val="1"/>
                <c:pt idx="0">
                  <c:v>1T19</c:v>
                </c:pt>
              </c:strCache>
            </c:strRef>
          </c:tx>
          <c:invertIfNegative val="0"/>
          <c:cat>
            <c:strRef>
              <c:f>'Relación de dependencia'!$S$33:$S$43</c:f>
              <c:strCache>
                <c:ptCount val="11"/>
                <c:pt idx="0">
                  <c:v>1</c:v>
                </c:pt>
                <c:pt idx="1">
                  <c:v>2</c:v>
                </c:pt>
                <c:pt idx="2">
                  <c:v>3</c:v>
                </c:pt>
                <c:pt idx="3">
                  <c:v>4</c:v>
                </c:pt>
                <c:pt idx="4">
                  <c:v>5</c:v>
                </c:pt>
                <c:pt idx="5">
                  <c:v>6</c:v>
                </c:pt>
                <c:pt idx="6">
                  <c:v>7</c:v>
                </c:pt>
                <c:pt idx="7">
                  <c:v>8</c:v>
                </c:pt>
                <c:pt idx="8">
                  <c:v>9</c:v>
                </c:pt>
                <c:pt idx="9">
                  <c:v>10</c:v>
                </c:pt>
                <c:pt idx="10">
                  <c:v>Total</c:v>
                </c:pt>
              </c:strCache>
            </c:strRef>
          </c:cat>
          <c:val>
            <c:numRef>
              <c:f>'Relación de dependencia'!$T$33:$T$43</c:f>
              <c:numCache>
                <c:formatCode>#,##0</c:formatCode>
                <c:ptCount val="11"/>
                <c:pt idx="0">
                  <c:v>289</c:v>
                </c:pt>
                <c:pt idx="1">
                  <c:v>203</c:v>
                </c:pt>
                <c:pt idx="2">
                  <c:v>155</c:v>
                </c:pt>
                <c:pt idx="3">
                  <c:v>174</c:v>
                </c:pt>
                <c:pt idx="4">
                  <c:v>131</c:v>
                </c:pt>
                <c:pt idx="5">
                  <c:v>129</c:v>
                </c:pt>
                <c:pt idx="6">
                  <c:v>91</c:v>
                </c:pt>
                <c:pt idx="7">
                  <c:v>83</c:v>
                </c:pt>
                <c:pt idx="8">
                  <c:v>64</c:v>
                </c:pt>
                <c:pt idx="9">
                  <c:v>44</c:v>
                </c:pt>
                <c:pt idx="10">
                  <c:v>136</c:v>
                </c:pt>
              </c:numCache>
            </c:numRef>
          </c:val>
          <c:extLst>
            <c:ext xmlns:c16="http://schemas.microsoft.com/office/drawing/2014/chart" uri="{C3380CC4-5D6E-409C-BE32-E72D297353CC}">
              <c16:uniqueId val="{00000000-85B8-4BB1-AB31-2D91F7CC076E}"/>
            </c:ext>
          </c:extLst>
        </c:ser>
        <c:ser>
          <c:idx val="1"/>
          <c:order val="1"/>
          <c:tx>
            <c:strRef>
              <c:f>'Relación de dependencia'!$U$32</c:f>
              <c:strCache>
                <c:ptCount val="1"/>
                <c:pt idx="0">
                  <c:v>1T20</c:v>
                </c:pt>
              </c:strCache>
            </c:strRef>
          </c:tx>
          <c:invertIfNegative val="0"/>
          <c:cat>
            <c:strRef>
              <c:f>'Relación de dependencia'!$S$33:$S$43</c:f>
              <c:strCache>
                <c:ptCount val="11"/>
                <c:pt idx="0">
                  <c:v>1</c:v>
                </c:pt>
                <c:pt idx="1">
                  <c:v>2</c:v>
                </c:pt>
                <c:pt idx="2">
                  <c:v>3</c:v>
                </c:pt>
                <c:pt idx="3">
                  <c:v>4</c:v>
                </c:pt>
                <c:pt idx="4">
                  <c:v>5</c:v>
                </c:pt>
                <c:pt idx="5">
                  <c:v>6</c:v>
                </c:pt>
                <c:pt idx="6">
                  <c:v>7</c:v>
                </c:pt>
                <c:pt idx="7">
                  <c:v>8</c:v>
                </c:pt>
                <c:pt idx="8">
                  <c:v>9</c:v>
                </c:pt>
                <c:pt idx="9">
                  <c:v>10</c:v>
                </c:pt>
                <c:pt idx="10">
                  <c:v>Total</c:v>
                </c:pt>
              </c:strCache>
            </c:strRef>
          </c:cat>
          <c:val>
            <c:numRef>
              <c:f>'Relación de dependencia'!$U$33:$U$43</c:f>
              <c:numCache>
                <c:formatCode>#,##0</c:formatCode>
                <c:ptCount val="11"/>
                <c:pt idx="0">
                  <c:v>306</c:v>
                </c:pt>
                <c:pt idx="1">
                  <c:v>199</c:v>
                </c:pt>
                <c:pt idx="2">
                  <c:v>159</c:v>
                </c:pt>
                <c:pt idx="3">
                  <c:v>142</c:v>
                </c:pt>
                <c:pt idx="4">
                  <c:v>117</c:v>
                </c:pt>
                <c:pt idx="5">
                  <c:v>110</c:v>
                </c:pt>
                <c:pt idx="6">
                  <c:v>122</c:v>
                </c:pt>
                <c:pt idx="7">
                  <c:v>88</c:v>
                </c:pt>
                <c:pt idx="8">
                  <c:v>72</c:v>
                </c:pt>
                <c:pt idx="9">
                  <c:v>47</c:v>
                </c:pt>
                <c:pt idx="10">
                  <c:v>136</c:v>
                </c:pt>
              </c:numCache>
            </c:numRef>
          </c:val>
          <c:extLst>
            <c:ext xmlns:c16="http://schemas.microsoft.com/office/drawing/2014/chart" uri="{C3380CC4-5D6E-409C-BE32-E72D297353CC}">
              <c16:uniqueId val="{00000001-85B8-4BB1-AB31-2D91F7CC076E}"/>
            </c:ext>
          </c:extLst>
        </c:ser>
        <c:dLbls>
          <c:showLegendKey val="0"/>
          <c:showVal val="0"/>
          <c:showCatName val="0"/>
          <c:showSerName val="0"/>
          <c:showPercent val="0"/>
          <c:showBubbleSize val="0"/>
        </c:dLbls>
        <c:gapWidth val="150"/>
        <c:axId val="294508032"/>
        <c:axId val="294509568"/>
      </c:barChart>
      <c:catAx>
        <c:axId val="294508032"/>
        <c:scaling>
          <c:orientation val="minMax"/>
        </c:scaling>
        <c:delete val="0"/>
        <c:axPos val="b"/>
        <c:numFmt formatCode="General" sourceLinked="0"/>
        <c:majorTickMark val="out"/>
        <c:minorTickMark val="none"/>
        <c:tickLblPos val="nextTo"/>
        <c:crossAx val="294509568"/>
        <c:crosses val="autoZero"/>
        <c:auto val="1"/>
        <c:lblAlgn val="ctr"/>
        <c:lblOffset val="100"/>
        <c:noMultiLvlLbl val="0"/>
      </c:catAx>
      <c:valAx>
        <c:axId val="294509568"/>
        <c:scaling>
          <c:orientation val="minMax"/>
        </c:scaling>
        <c:delete val="0"/>
        <c:axPos val="l"/>
        <c:majorGridlines/>
        <c:numFmt formatCode="#,##0" sourceLinked="1"/>
        <c:majorTickMark val="out"/>
        <c:minorTickMark val="none"/>
        <c:tickLblPos val="nextTo"/>
        <c:crossAx val="294508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2E9A-6867-4E34-9735-F6F78508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1709</Words>
  <Characters>9404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dc:creator>
  <cp:lastModifiedBy>Javier Eduardo Rameri</cp:lastModifiedBy>
  <cp:revision>11</cp:revision>
  <dcterms:created xsi:type="dcterms:W3CDTF">2020-07-01T00:08:00Z</dcterms:created>
  <dcterms:modified xsi:type="dcterms:W3CDTF">2020-07-01T02:20:00Z</dcterms:modified>
</cp:coreProperties>
</file>