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A118" w14:textId="61CFF58F" w:rsidR="000260C7" w:rsidRDefault="000260C7" w:rsidP="000260C7">
      <w:pPr>
        <w:rPr>
          <w:b/>
          <w:sz w:val="36"/>
          <w:szCs w:val="36"/>
        </w:rPr>
      </w:pPr>
      <w:r w:rsidRPr="00915DFE">
        <w:rPr>
          <w:noProof/>
          <w:sz w:val="28"/>
          <w:szCs w:val="28"/>
          <w:u w:val="single"/>
        </w:rPr>
        <w:drawing>
          <wp:inline distT="0" distB="0" distL="0" distR="0" wp14:anchorId="638AB137" wp14:editId="5EE712FA">
            <wp:extent cx="5400675" cy="2486025"/>
            <wp:effectExtent l="0" t="0" r="9525" b="9525"/>
            <wp:docPr id="7" name="Imagen 7"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86025"/>
                    </a:xfrm>
                    <a:prstGeom prst="rect">
                      <a:avLst/>
                    </a:prstGeom>
                    <a:noFill/>
                    <a:ln>
                      <a:noFill/>
                    </a:ln>
                  </pic:spPr>
                </pic:pic>
              </a:graphicData>
            </a:graphic>
          </wp:inline>
        </w:drawing>
      </w:r>
    </w:p>
    <w:p w14:paraId="61A10969" w14:textId="77777777" w:rsidR="00D56FAA" w:rsidRDefault="00D56FAA" w:rsidP="000260C7">
      <w:pPr>
        <w:rPr>
          <w:b/>
          <w:sz w:val="36"/>
          <w:szCs w:val="36"/>
        </w:rPr>
      </w:pPr>
    </w:p>
    <w:p w14:paraId="3CDDB00D" w14:textId="79F2E82B" w:rsidR="000260C7" w:rsidRDefault="00D56FAA" w:rsidP="00D56FAA">
      <w:pPr>
        <w:jc w:val="center"/>
        <w:rPr>
          <w:b/>
          <w:sz w:val="36"/>
          <w:szCs w:val="36"/>
        </w:rPr>
      </w:pPr>
      <w:r>
        <w:rPr>
          <w:b/>
          <w:sz w:val="36"/>
          <w:szCs w:val="36"/>
        </w:rPr>
        <w:t>LA MITAD DE LA POBLACIÓN ES POBRE</w:t>
      </w:r>
    </w:p>
    <w:p w14:paraId="4548253B" w14:textId="77777777" w:rsidR="00D56FAA" w:rsidRDefault="00D56FAA" w:rsidP="00D56FAA">
      <w:pPr>
        <w:jc w:val="center"/>
        <w:rPr>
          <w:b/>
          <w:sz w:val="36"/>
          <w:szCs w:val="36"/>
        </w:rPr>
      </w:pPr>
    </w:p>
    <w:p w14:paraId="76C1B074" w14:textId="66BE41ED" w:rsidR="00D56FAA" w:rsidRPr="00546F3F" w:rsidRDefault="00D56FAA" w:rsidP="00D56FAA">
      <w:pPr>
        <w:jc w:val="center"/>
        <w:rPr>
          <w:b/>
          <w:sz w:val="34"/>
          <w:szCs w:val="34"/>
        </w:rPr>
      </w:pPr>
      <w:r w:rsidRPr="00546F3F">
        <w:rPr>
          <w:b/>
          <w:sz w:val="34"/>
          <w:szCs w:val="34"/>
        </w:rPr>
        <w:t xml:space="preserve">Los datos al 2do trimestre 2020, el peor momento de la pandemia y la necesidad </w:t>
      </w:r>
      <w:r w:rsidR="00DB00E0" w:rsidRPr="00546F3F">
        <w:rPr>
          <w:b/>
          <w:sz w:val="34"/>
          <w:szCs w:val="34"/>
        </w:rPr>
        <w:t>imperiosa</w:t>
      </w:r>
      <w:r w:rsidRPr="00546F3F">
        <w:rPr>
          <w:b/>
          <w:sz w:val="34"/>
          <w:szCs w:val="34"/>
        </w:rPr>
        <w:t xml:space="preserve"> de universalizar ingresos</w:t>
      </w:r>
    </w:p>
    <w:p w14:paraId="66DDD114" w14:textId="7459E0C7" w:rsidR="000260C7" w:rsidRDefault="000260C7" w:rsidP="000260C7">
      <w:pPr>
        <w:jc w:val="center"/>
        <w:rPr>
          <w:b/>
          <w:sz w:val="28"/>
          <w:szCs w:val="28"/>
        </w:rPr>
      </w:pPr>
    </w:p>
    <w:p w14:paraId="3711248F" w14:textId="27B45BF1" w:rsidR="00D56FAA" w:rsidRDefault="00D56FAA" w:rsidP="000260C7">
      <w:pPr>
        <w:jc w:val="center"/>
        <w:rPr>
          <w:b/>
          <w:sz w:val="28"/>
          <w:szCs w:val="28"/>
        </w:rPr>
      </w:pPr>
    </w:p>
    <w:p w14:paraId="4D37E5CC" w14:textId="74779441" w:rsidR="00D56FAA" w:rsidRDefault="00D56FAA" w:rsidP="000260C7">
      <w:pPr>
        <w:jc w:val="center"/>
        <w:rPr>
          <w:b/>
          <w:sz w:val="28"/>
          <w:szCs w:val="28"/>
        </w:rPr>
      </w:pPr>
    </w:p>
    <w:p w14:paraId="2A7F76F4" w14:textId="7703337F" w:rsidR="00D56FAA" w:rsidRDefault="00D56FAA" w:rsidP="000260C7">
      <w:pPr>
        <w:jc w:val="center"/>
        <w:rPr>
          <w:b/>
          <w:sz w:val="28"/>
          <w:szCs w:val="28"/>
        </w:rPr>
      </w:pPr>
    </w:p>
    <w:p w14:paraId="1FCCC4F9" w14:textId="77777777" w:rsidR="00D56FAA" w:rsidRPr="00385035" w:rsidRDefault="00D56FAA" w:rsidP="000260C7">
      <w:pPr>
        <w:jc w:val="center"/>
        <w:rPr>
          <w:b/>
          <w:sz w:val="28"/>
          <w:szCs w:val="28"/>
        </w:rPr>
      </w:pPr>
    </w:p>
    <w:p w14:paraId="66AACF2B" w14:textId="77777777" w:rsidR="000260C7" w:rsidRPr="008B084C" w:rsidRDefault="000260C7" w:rsidP="000260C7">
      <w:pPr>
        <w:spacing w:line="240" w:lineRule="auto"/>
        <w:jc w:val="right"/>
      </w:pPr>
    </w:p>
    <w:p w14:paraId="41DA9BD5" w14:textId="77777777" w:rsidR="000260C7" w:rsidRPr="00511261" w:rsidRDefault="000260C7" w:rsidP="000260C7">
      <w:pPr>
        <w:spacing w:line="240" w:lineRule="auto"/>
        <w:jc w:val="right"/>
        <w:rPr>
          <w:b/>
          <w:bCs/>
          <w:u w:val="single"/>
        </w:rPr>
      </w:pPr>
      <w:r w:rsidRPr="00511261">
        <w:rPr>
          <w:b/>
          <w:bCs/>
          <w:u w:val="single"/>
        </w:rPr>
        <w:t>Equipo de Trabajo</w:t>
      </w:r>
    </w:p>
    <w:p w14:paraId="7A9913D7" w14:textId="020C48A4" w:rsidR="000260C7" w:rsidRDefault="000260C7" w:rsidP="000260C7">
      <w:pPr>
        <w:spacing w:line="240" w:lineRule="auto"/>
        <w:jc w:val="right"/>
      </w:pPr>
      <w:r w:rsidRPr="008B084C">
        <w:t>Claudio Lozano</w:t>
      </w:r>
    </w:p>
    <w:p w14:paraId="5D9B1AA9" w14:textId="4E78F150" w:rsidR="000260C7" w:rsidRDefault="000260C7" w:rsidP="000260C7">
      <w:pPr>
        <w:spacing w:line="240" w:lineRule="auto"/>
        <w:jc w:val="right"/>
      </w:pPr>
      <w:r>
        <w:t xml:space="preserve">Agustina </w:t>
      </w:r>
      <w:proofErr w:type="spellStart"/>
      <w:r>
        <w:t>Haimovich</w:t>
      </w:r>
      <w:proofErr w:type="spellEnd"/>
    </w:p>
    <w:p w14:paraId="10CE6D6C" w14:textId="0EBFB171" w:rsidR="000260C7" w:rsidRDefault="000260C7" w:rsidP="000260C7">
      <w:pPr>
        <w:spacing w:line="240" w:lineRule="auto"/>
        <w:jc w:val="right"/>
      </w:pPr>
      <w:r>
        <w:t>Ana Rameri</w:t>
      </w:r>
    </w:p>
    <w:p w14:paraId="5749CE85" w14:textId="77777777" w:rsidR="000260C7" w:rsidRPr="008B084C" w:rsidRDefault="000260C7" w:rsidP="000260C7">
      <w:pPr>
        <w:spacing w:line="240" w:lineRule="auto"/>
        <w:jc w:val="right"/>
      </w:pPr>
    </w:p>
    <w:p w14:paraId="45849876" w14:textId="77777777" w:rsidR="000260C7" w:rsidRPr="00511261" w:rsidRDefault="000260C7" w:rsidP="000260C7">
      <w:pPr>
        <w:spacing w:line="240" w:lineRule="auto"/>
        <w:jc w:val="right"/>
        <w:rPr>
          <w:b/>
          <w:bCs/>
          <w:u w:val="single"/>
        </w:rPr>
      </w:pPr>
      <w:r w:rsidRPr="00511261">
        <w:rPr>
          <w:b/>
          <w:bCs/>
          <w:u w:val="single"/>
        </w:rPr>
        <w:t>Coordinación</w:t>
      </w:r>
    </w:p>
    <w:p w14:paraId="0AD9C009" w14:textId="77777777" w:rsidR="000260C7" w:rsidRPr="006B2AAE" w:rsidRDefault="000260C7" w:rsidP="000260C7">
      <w:pPr>
        <w:spacing w:line="240" w:lineRule="auto"/>
        <w:jc w:val="right"/>
      </w:pPr>
      <w:r w:rsidRPr="008B084C">
        <w:t>Ana Rameri</w:t>
      </w:r>
    </w:p>
    <w:p w14:paraId="5EA8D297" w14:textId="77777777" w:rsidR="000260C7" w:rsidRDefault="000260C7" w:rsidP="000260C7">
      <w:pPr>
        <w:jc w:val="right"/>
      </w:pPr>
    </w:p>
    <w:p w14:paraId="0DA3C2F9" w14:textId="77777777" w:rsidR="000260C7" w:rsidRDefault="000260C7" w:rsidP="000260C7">
      <w:pPr>
        <w:jc w:val="right"/>
      </w:pPr>
    </w:p>
    <w:p w14:paraId="5E7B954F" w14:textId="77777777" w:rsidR="000260C7" w:rsidRDefault="000260C7" w:rsidP="000260C7">
      <w:pPr>
        <w:jc w:val="right"/>
      </w:pPr>
    </w:p>
    <w:p w14:paraId="461BE325" w14:textId="77777777" w:rsidR="000260C7" w:rsidRPr="006B2AAE" w:rsidRDefault="000260C7" w:rsidP="000260C7">
      <w:pPr>
        <w:jc w:val="right"/>
      </w:pPr>
    </w:p>
    <w:p w14:paraId="6EECA0D2" w14:textId="77777777" w:rsidR="00D56FAA" w:rsidRDefault="00D56FAA" w:rsidP="000260C7">
      <w:pPr>
        <w:jc w:val="center"/>
        <w:rPr>
          <w:rFonts w:ascii="Times New Roman" w:eastAsia="Times New Roman" w:hAnsi="Times New Roman"/>
          <w:b/>
          <w:bCs/>
          <w:lang w:eastAsia="es-ES_tradnl"/>
        </w:rPr>
      </w:pPr>
    </w:p>
    <w:p w14:paraId="3EAD63C3" w14:textId="77777777" w:rsidR="00D56FAA" w:rsidRDefault="00D56FAA" w:rsidP="000260C7">
      <w:pPr>
        <w:jc w:val="center"/>
        <w:rPr>
          <w:rFonts w:ascii="Times New Roman" w:eastAsia="Times New Roman" w:hAnsi="Times New Roman"/>
          <w:b/>
          <w:bCs/>
          <w:lang w:eastAsia="es-ES_tradnl"/>
        </w:rPr>
      </w:pPr>
    </w:p>
    <w:p w14:paraId="4CC1BF9A" w14:textId="77777777" w:rsidR="00D56FAA" w:rsidRDefault="00D56FAA" w:rsidP="000260C7">
      <w:pPr>
        <w:jc w:val="center"/>
        <w:rPr>
          <w:rFonts w:ascii="Times New Roman" w:eastAsia="Times New Roman" w:hAnsi="Times New Roman"/>
          <w:b/>
          <w:bCs/>
          <w:lang w:eastAsia="es-ES_tradnl"/>
        </w:rPr>
      </w:pPr>
    </w:p>
    <w:p w14:paraId="1EE939C4" w14:textId="77777777" w:rsidR="00D56FAA" w:rsidRDefault="00D56FAA" w:rsidP="000260C7">
      <w:pPr>
        <w:jc w:val="center"/>
        <w:rPr>
          <w:rFonts w:ascii="Times New Roman" w:eastAsia="Times New Roman" w:hAnsi="Times New Roman"/>
          <w:b/>
          <w:bCs/>
          <w:lang w:eastAsia="es-ES_tradnl"/>
        </w:rPr>
      </w:pPr>
    </w:p>
    <w:p w14:paraId="36E5EE6A" w14:textId="3FE06757" w:rsidR="000260C7" w:rsidRPr="006B2AAE" w:rsidRDefault="000260C7" w:rsidP="000260C7">
      <w:pPr>
        <w:jc w:val="center"/>
        <w:rPr>
          <w:rFonts w:ascii="Times New Roman" w:eastAsia="Times New Roman" w:hAnsi="Times New Roman"/>
          <w:b/>
          <w:bCs/>
          <w:lang w:eastAsia="es-ES_tradnl"/>
        </w:rPr>
      </w:pPr>
      <w:r>
        <w:rPr>
          <w:rFonts w:ascii="Times New Roman" w:eastAsia="Times New Roman" w:hAnsi="Times New Roman"/>
          <w:b/>
          <w:bCs/>
          <w:lang w:eastAsia="es-ES_tradnl"/>
        </w:rPr>
        <w:t>Septiembre</w:t>
      </w:r>
      <w:r w:rsidRPr="006B2AAE">
        <w:rPr>
          <w:rFonts w:ascii="Times New Roman" w:eastAsia="Times New Roman" w:hAnsi="Times New Roman"/>
          <w:b/>
          <w:bCs/>
          <w:lang w:eastAsia="es-ES_tradnl"/>
        </w:rPr>
        <w:t xml:space="preserve"> 2020</w:t>
      </w:r>
    </w:p>
    <w:p w14:paraId="53DFD9F2" w14:textId="4DB9081C" w:rsidR="000260C7" w:rsidRDefault="000260C7">
      <w:pPr>
        <w:rPr>
          <w:b/>
          <w:u w:val="single"/>
        </w:rPr>
      </w:pPr>
      <w:r>
        <w:rPr>
          <w:b/>
          <w:u w:val="single"/>
        </w:rPr>
        <w:br w:type="page"/>
      </w:r>
    </w:p>
    <w:p w14:paraId="3A235F6F" w14:textId="2FD150C6" w:rsidR="005D56DD" w:rsidRPr="00C23C71" w:rsidRDefault="00BC1B83">
      <w:pPr>
        <w:spacing w:before="240" w:after="240"/>
        <w:jc w:val="both"/>
        <w:rPr>
          <w:b/>
          <w:u w:val="single"/>
        </w:rPr>
      </w:pPr>
      <w:r w:rsidRPr="00C23C71">
        <w:rPr>
          <w:b/>
          <w:u w:val="single"/>
        </w:rPr>
        <w:lastRenderedPageBreak/>
        <w:t>Introducción</w:t>
      </w:r>
    </w:p>
    <w:p w14:paraId="7A10E815" w14:textId="3A773FB5" w:rsidR="005D56DD" w:rsidRDefault="00BC1B83" w:rsidP="00C23C71">
      <w:pPr>
        <w:spacing w:before="240" w:after="240"/>
        <w:ind w:firstLine="720"/>
        <w:jc w:val="both"/>
      </w:pPr>
      <w:r w:rsidRPr="00C23C71">
        <w:t>En solo</w:t>
      </w:r>
      <w:r>
        <w:t xml:space="preserve"> un trimestre hay 5 millones de pobres más y dos millones de indigentes más. Durante el semestre completo, por efecto de la pandemia, se sumaron 4,1 millones de personas a la pobreza y 1,7 millones no logran alimentarse adecuadamente. Al segundo trimestre del año 2020 y sin haber un horizonte claro de resolución de la situación epidemiológica, los niveles de pobreza treparon al 47,2% y la indigencia al 12,4%. Estos son los números que describen una de las crisis más importantes de las últimas décadas. El hundimiento de las condiciones de vida de la población en un período de tiempo extraordinariamente breve hizo retroceder 17 años en el tiempo para ubicarnos en un escenario similar al experimentado unos meses después de la última gran crisis ocasionada por la salida de la convertibilidad.  </w:t>
      </w:r>
    </w:p>
    <w:p w14:paraId="75A467C2" w14:textId="77777777" w:rsidR="005D56DD" w:rsidRDefault="00BC1B83">
      <w:pPr>
        <w:spacing w:before="240" w:after="240"/>
        <w:jc w:val="both"/>
      </w:pPr>
      <w:r>
        <w:tab/>
        <w:t>No pueden comprenderse la magnitud del empobrecimiento del segundo trimestre 2020 sin considerar el contexto de la pandemia a escala mundial y los efectos de la única medida efectiva para el cuidado de la salud de la población, la cuarentena, hasta tanto no se descubra vacuna o tratamiento adecuado. Con la población recluida se produce un shock simultáneo de oferta y demanda, donde se desploman ingresos y se paraliza la producción con la sola excepción de ciertas actividades esenciales, y se coloca a la economía bajo las condiciones de una espiral depresiva. La caída de la actividad económica, del empleo, del comercio exterior, la parálisis de sectores de actividad enteros durante los meses del confinamiento social más estricto e incluso un posterior relajamiento de la cuarentena que no termina de consolidarse en un repunte efectivo, forman parte de las razones de estos números. Concretamente, el período que aquí se analiza contiene, por lo tanto, los meses más críticos que fueron abril y mayo, cuando la caída de la actividad tuvo una variación del orden del -26%.</w:t>
      </w:r>
    </w:p>
    <w:p w14:paraId="3F2D80AD" w14:textId="77777777" w:rsidR="005D56DD" w:rsidRDefault="00BC1B83">
      <w:pPr>
        <w:spacing w:before="240" w:after="240"/>
        <w:jc w:val="both"/>
      </w:pPr>
      <w:r>
        <w:tab/>
        <w:t xml:space="preserve">Sin embargo, la información sobre la magnitud que asume el deterioro del tejido social también da cuenta de la efectividad que ha tenido el estado para afrontar los efectos nocivos de la crisis pandémica, aspecto que brinda singularidad a los distintos países en el tratamiento del problema global. En nuestro país, desde el inicio se puso en práctica de manera inmediata una red de contención para el sector más vulnerable de la población (jubilados, asignación universal, desocupados y trabajadores informales) dando lugar a la experiencia del Ingreso Familiar de Emergencia que generó un salto de calidad en materia de política de ingresos extendiendo el acceso a un ingreso a casi nueve millones de personas con inserciones laborales endebles. Asimismo, el programa ATP fue decisivo para contener el empleo asalariado formal. </w:t>
      </w:r>
    </w:p>
    <w:p w14:paraId="4FAE48C9" w14:textId="77777777" w:rsidR="005D56DD" w:rsidRDefault="00BC1B83">
      <w:pPr>
        <w:spacing w:before="240" w:after="240"/>
        <w:jc w:val="both"/>
      </w:pPr>
      <w:r>
        <w:tab/>
        <w:t xml:space="preserve">No obstante, los esfuerzos fiscales realizados las cifras de pobreza y hambre dan cuenta que actualmente estamos orillando el 50% de la población por debajo de la línea de pobreza y a pesar de los refuerzos alimentarios (a través de la tarjeta Alimentar) el hambre afecta al 12%. Es inevitable entonces concluir que, si bien la intervención del gobierno fue activa, ésta fue insuficiente. Entre las limitaciones más importantes podemos señalar el carácter bimestral que ha adquirido el IFE que se disponía en principio a ser una transferencia mensual de $10.000 pero que en la práctica transfirió a lo sumo $5.000, valor que por otra parte apena cubre una porción muy mínima de una canasta básica familiar, cerca del 10%. Por otra parte, el diseño de ampliación focalizada que adquirió el programa terminó por dejar afuera a una parte importante de población que incluso denotaba inserciones laborales </w:t>
      </w:r>
      <w:r>
        <w:lastRenderedPageBreak/>
        <w:t>informales o precarias. En este marco, el estancamiento de las jubilaciones y pensiones y los retrasos salariales agravan aún más la condición de ingresos de la población configurando una demanda por demás debilitada e incapaz de motorizar un proceso de recuperación de la actividad económica.</w:t>
      </w:r>
    </w:p>
    <w:p w14:paraId="6C2B1BFC" w14:textId="01EDBB6B" w:rsidR="005D56DD" w:rsidRDefault="00BC1B83">
      <w:pPr>
        <w:spacing w:before="240" w:after="240"/>
        <w:jc w:val="both"/>
      </w:pPr>
      <w:r>
        <w:tab/>
        <w:t xml:space="preserve">Lo curioso es que, en este marco, el gobierno haya descartado la alternativa de garantizar ingresos al conjunto de la población por la vía de transferencias universales, ya que incluso de producirse una eventual salida de la pandemia, el problema sanitario </w:t>
      </w:r>
      <w:r w:rsidR="008B01F6">
        <w:t>terminaría,</w:t>
      </w:r>
      <w:r>
        <w:t xml:space="preserve"> pero la pobreza queda. Es preocupante que en el proyecto de ley del Presupuesto para la Administración Pública Nacional del año 2021 se asuma la detracción de los refuerzos brindados por el Covid-19. No es suficiente la aclaración a favor de la voluntad de sostenerlo en caso de continuar la emergencia pandémica porque el nivel deterioro social alcanzado, independientemente de la pandemia, precisa en realidad de la multiplicación de las medidas desplegadas. </w:t>
      </w:r>
    </w:p>
    <w:p w14:paraId="4CDD9200" w14:textId="4E9A45E8" w:rsidR="005D56DD" w:rsidRDefault="00BC1B83">
      <w:pPr>
        <w:spacing w:before="240" w:after="240"/>
        <w:jc w:val="both"/>
      </w:pPr>
      <w:r>
        <w:t xml:space="preserve">Resulta imprescindible, por lo tanto, pararse sobre la novedad que resultó ser el IFE para robustecer su alcance y mejorar la calidad de la contención social brindada por el estado. Hoy con mayor énfasis, proponemos establecer una renta básica universal para la emergencia, y también extenderla durante la </w:t>
      </w:r>
      <w:proofErr w:type="spellStart"/>
      <w:r>
        <w:t>postpandemia</w:t>
      </w:r>
      <w:proofErr w:type="spellEnd"/>
      <w:r>
        <w:t xml:space="preserve">, compuesta por un </w:t>
      </w:r>
      <w:r w:rsidR="006D0CC3">
        <w:t xml:space="preserve">salario universal y la asignación </w:t>
      </w:r>
      <w:r>
        <w:t>por hijo que permita conformar un umbral de dignidad social, un piso salarial efectivo para el conjunto de los trabajadores y trabajadoras y darle impulso al mercado interno para que ponga en marcha la capacidad ociosa y reactivar la economía.</w:t>
      </w:r>
    </w:p>
    <w:p w14:paraId="6B36E2CA" w14:textId="77777777" w:rsidR="005D56DD" w:rsidRDefault="005D56DD">
      <w:pPr>
        <w:spacing w:before="240" w:after="240"/>
        <w:jc w:val="both"/>
        <w:rPr>
          <w:b/>
          <w:u w:val="single"/>
        </w:rPr>
      </w:pPr>
    </w:p>
    <w:p w14:paraId="33A74297" w14:textId="77777777" w:rsidR="005D56DD" w:rsidRDefault="005D56DD">
      <w:pPr>
        <w:spacing w:before="240" w:after="240"/>
        <w:jc w:val="both"/>
        <w:rPr>
          <w:b/>
          <w:u w:val="single"/>
        </w:rPr>
      </w:pPr>
    </w:p>
    <w:p w14:paraId="224ADC4D" w14:textId="77777777" w:rsidR="006D0CC3" w:rsidRDefault="006D0CC3">
      <w:pPr>
        <w:rPr>
          <w:b/>
          <w:u w:val="single"/>
        </w:rPr>
      </w:pPr>
      <w:r>
        <w:rPr>
          <w:b/>
          <w:u w:val="single"/>
        </w:rPr>
        <w:br w:type="page"/>
      </w:r>
    </w:p>
    <w:p w14:paraId="004843F7" w14:textId="26006E9A" w:rsidR="005D56DD" w:rsidRPr="000260C7" w:rsidRDefault="00BC1B83" w:rsidP="000260C7">
      <w:pPr>
        <w:spacing w:before="240" w:after="240"/>
        <w:jc w:val="both"/>
        <w:rPr>
          <w:b/>
          <w:u w:val="single"/>
        </w:rPr>
      </w:pPr>
      <w:r>
        <w:rPr>
          <w:b/>
          <w:u w:val="single"/>
        </w:rPr>
        <w:lastRenderedPageBreak/>
        <w:t>Resultados del II trimestre 2020: La mitad de la población debajo de la línea de pobreza</w:t>
      </w:r>
    </w:p>
    <w:p w14:paraId="6C091E5B" w14:textId="799FCE80" w:rsidR="005D56DD" w:rsidRDefault="00BC1B83" w:rsidP="000260C7">
      <w:pPr>
        <w:spacing w:before="240" w:after="240"/>
        <w:ind w:firstLine="700"/>
        <w:jc w:val="both"/>
      </w:pPr>
      <w:r>
        <w:t xml:space="preserve">Se conocieron recientemente los datos de pobreza e indigencia correspondientes al primer semestre 2020 que ubica los valores de las tasas en el 40,9% y el 10,5%, respectivamente. Desde nuestro instituto, en oportunidad a estas publicaciones semestrales, realizamos las estimaciones trimestrales con el objetivo de aproximarnos a la situación social más reciente, cuestión que adquiere especial relevancia en el corriente año caracterizado por la irrupción de una situación epidemiológica extraordinaria al promediar el semestre. </w:t>
      </w:r>
    </w:p>
    <w:p w14:paraId="34DE8477" w14:textId="08F60E77" w:rsidR="005D56DD" w:rsidRDefault="00BC1B83">
      <w:pPr>
        <w:spacing w:before="240" w:after="240"/>
        <w:ind w:firstLine="700"/>
        <w:jc w:val="both"/>
      </w:pPr>
      <w:r>
        <w:t xml:space="preserve">Se verifica entonces que al segundo trimestre 2020, período que contiene el mes de abril atravesado por los derrumbes del empleo, ingresos y la actividad, </w:t>
      </w:r>
      <w:r>
        <w:rPr>
          <w:b/>
          <w:i/>
        </w:rPr>
        <w:t>la pobreza alcanza el 47,2% con 21,5 millones de pobres y la indigencia el 12,4% con 5,6 millones personas con hambre</w:t>
      </w:r>
      <w:r>
        <w:t xml:space="preserve">. Es inevitable señalar que la Argentina vuelve a trepar a niveles de empobrecimiento históricos, solamente experimentados durante las grandes crisis a lo largo de la historia económica reciente como lo fueron como la salida de la convertibilidad (57,5%) o la hiperinflación (47,3%) secuencia a la que, </w:t>
      </w:r>
      <w:r w:rsidR="00ED71CF">
        <w:t>sin lugar a duda</w:t>
      </w:r>
      <w:r>
        <w:t>, se incorpora la vigente crisis pandémica con el agravante de que tal deterioro se produjo en un período de tiempo muy breve. La condensación temporal del empobrecimiento se encuentra justamente en los tres meses aquí analizados cuando los efectos de la pandemia golpearon fuertemente el funcionamiento de la economía y agravaron los problemas ya existentes.</w:t>
      </w:r>
    </w:p>
    <w:p w14:paraId="578CA95D" w14:textId="0C3E467E" w:rsidR="005D56DD" w:rsidRDefault="00BC1B83">
      <w:pPr>
        <w:spacing w:before="240" w:after="240"/>
        <w:ind w:firstLine="700"/>
        <w:jc w:val="both"/>
      </w:pPr>
      <w:r>
        <w:t xml:space="preserve"> </w:t>
      </w:r>
    </w:p>
    <w:p w14:paraId="4C230B1E" w14:textId="702518E2" w:rsidR="006D0CC3" w:rsidRDefault="006D0CC3" w:rsidP="006D0CC3">
      <w:pPr>
        <w:spacing w:before="240" w:after="240"/>
        <w:jc w:val="both"/>
      </w:pPr>
      <w:r>
        <w:t>Cuadro 1: Tasas de pobreza e indigencia. Estimación del total nacional. II trimestre 2020.</w:t>
      </w:r>
    </w:p>
    <w:tbl>
      <w:tblPr>
        <w:tblW w:w="5280" w:type="dxa"/>
        <w:jc w:val="center"/>
        <w:tblCellMar>
          <w:left w:w="70" w:type="dxa"/>
          <w:right w:w="70" w:type="dxa"/>
        </w:tblCellMar>
        <w:tblLook w:val="04A0" w:firstRow="1" w:lastRow="0" w:firstColumn="1" w:lastColumn="0" w:noHBand="0" w:noVBand="1"/>
      </w:tblPr>
      <w:tblGrid>
        <w:gridCol w:w="2640"/>
        <w:gridCol w:w="946"/>
        <w:gridCol w:w="1694"/>
      </w:tblGrid>
      <w:tr w:rsidR="006D0CC3" w:rsidRPr="00EB3C96" w14:paraId="28B51C97" w14:textId="77777777" w:rsidTr="00BC1B83">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770D8B8B" w14:textId="77777777" w:rsidR="006D0CC3" w:rsidRPr="00EB3C96" w:rsidRDefault="006D0CC3" w:rsidP="00BC1B83">
            <w:pPr>
              <w:jc w:val="center"/>
              <w:rPr>
                <w:rFonts w:ascii="Calibri" w:eastAsia="Times New Roman" w:hAnsi="Calibri" w:cs="Calibri"/>
                <w:b/>
                <w:bCs/>
                <w:color w:val="FFFFFF"/>
                <w:sz w:val="20"/>
                <w:szCs w:val="20"/>
              </w:rPr>
            </w:pPr>
            <w:bookmarkStart w:id="0" w:name="_Hlk52358353"/>
            <w:r w:rsidRPr="00EB3C96">
              <w:rPr>
                <w:rFonts w:ascii="Calibri" w:eastAsia="Times New Roman" w:hAnsi="Calibri" w:cs="Calibri"/>
                <w:b/>
                <w:bCs/>
                <w:color w:val="FFFFFF"/>
                <w:sz w:val="20"/>
                <w:szCs w:val="20"/>
              </w:rPr>
              <w:t> </w:t>
            </w:r>
          </w:p>
        </w:tc>
        <w:tc>
          <w:tcPr>
            <w:tcW w:w="2640" w:type="dxa"/>
            <w:gridSpan w:val="2"/>
            <w:tcBorders>
              <w:top w:val="single" w:sz="4" w:space="0" w:color="auto"/>
              <w:left w:val="nil"/>
              <w:bottom w:val="single" w:sz="4" w:space="0" w:color="auto"/>
              <w:right w:val="single" w:sz="4" w:space="0" w:color="auto"/>
            </w:tcBorders>
            <w:shd w:val="clear" w:color="000000" w:fill="0070C0"/>
            <w:noWrap/>
            <w:vAlign w:val="bottom"/>
            <w:hideMark/>
          </w:tcPr>
          <w:p w14:paraId="5DAF49F5" w14:textId="77777777" w:rsidR="006D0CC3" w:rsidRPr="00EB3C96" w:rsidRDefault="006D0CC3" w:rsidP="00BC1B83">
            <w:pPr>
              <w:jc w:val="center"/>
              <w:rPr>
                <w:rFonts w:ascii="Calibri" w:eastAsia="Times New Roman" w:hAnsi="Calibri" w:cs="Calibri"/>
                <w:b/>
                <w:bCs/>
                <w:color w:val="FFFFFF"/>
                <w:sz w:val="20"/>
                <w:szCs w:val="20"/>
              </w:rPr>
            </w:pPr>
            <w:r w:rsidRPr="00EB3C96">
              <w:rPr>
                <w:rFonts w:ascii="Calibri" w:eastAsia="Times New Roman" w:hAnsi="Calibri" w:cs="Calibri"/>
                <w:b/>
                <w:bCs/>
                <w:color w:val="FFFFFF"/>
                <w:sz w:val="20"/>
                <w:szCs w:val="20"/>
              </w:rPr>
              <w:t>2º Trimestre 2020</w:t>
            </w:r>
          </w:p>
        </w:tc>
      </w:tr>
      <w:tr w:rsidR="006D0CC3" w:rsidRPr="00EB3C96" w14:paraId="7380C340" w14:textId="77777777" w:rsidTr="00BC1B83">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7168580" w14:textId="77777777" w:rsidR="006D0CC3" w:rsidRPr="00EB3C96" w:rsidRDefault="006D0CC3" w:rsidP="00BC1B83">
            <w:pPr>
              <w:jc w:val="center"/>
              <w:rPr>
                <w:rFonts w:ascii="Calibri" w:eastAsia="Times New Roman" w:hAnsi="Calibri" w:cs="Calibri"/>
                <w:b/>
                <w:bCs/>
                <w:color w:val="FFFFFF"/>
                <w:sz w:val="20"/>
                <w:szCs w:val="20"/>
              </w:rPr>
            </w:pPr>
            <w:r w:rsidRPr="00EB3C96">
              <w:rPr>
                <w:rFonts w:ascii="Calibri" w:eastAsia="Times New Roman" w:hAnsi="Calibri" w:cs="Calibri"/>
                <w:b/>
                <w:bCs/>
                <w:color w:val="FFFFFF"/>
                <w:sz w:val="20"/>
                <w:szCs w:val="20"/>
              </w:rPr>
              <w:t>Pobreza</w:t>
            </w:r>
          </w:p>
        </w:tc>
        <w:tc>
          <w:tcPr>
            <w:tcW w:w="946" w:type="dxa"/>
            <w:tcBorders>
              <w:top w:val="nil"/>
              <w:left w:val="nil"/>
              <w:bottom w:val="single" w:sz="4" w:space="0" w:color="auto"/>
              <w:right w:val="single" w:sz="4" w:space="0" w:color="auto"/>
            </w:tcBorders>
            <w:shd w:val="clear" w:color="auto" w:fill="auto"/>
            <w:noWrap/>
            <w:vAlign w:val="bottom"/>
            <w:hideMark/>
          </w:tcPr>
          <w:p w14:paraId="460C65A1" w14:textId="77777777" w:rsidR="006D0CC3" w:rsidRPr="00EB3C96" w:rsidRDefault="006D0CC3" w:rsidP="00BC1B83">
            <w:pPr>
              <w:jc w:val="right"/>
              <w:rPr>
                <w:rFonts w:ascii="Calibri" w:eastAsia="Times New Roman" w:hAnsi="Calibri" w:cs="Calibri"/>
                <w:color w:val="000000"/>
              </w:rPr>
            </w:pPr>
            <w:r w:rsidRPr="00EB3C96">
              <w:rPr>
                <w:rFonts w:ascii="Calibri" w:eastAsia="Times New Roman" w:hAnsi="Calibri" w:cs="Calibri"/>
                <w:color w:val="000000"/>
              </w:rPr>
              <w:t>47,2%</w:t>
            </w:r>
          </w:p>
        </w:tc>
        <w:tc>
          <w:tcPr>
            <w:tcW w:w="1694" w:type="dxa"/>
            <w:tcBorders>
              <w:top w:val="nil"/>
              <w:left w:val="nil"/>
              <w:bottom w:val="single" w:sz="4" w:space="0" w:color="auto"/>
              <w:right w:val="single" w:sz="4" w:space="0" w:color="auto"/>
            </w:tcBorders>
            <w:shd w:val="clear" w:color="auto" w:fill="auto"/>
            <w:noWrap/>
            <w:vAlign w:val="bottom"/>
            <w:hideMark/>
          </w:tcPr>
          <w:p w14:paraId="64A39B11" w14:textId="77777777" w:rsidR="006D0CC3" w:rsidRPr="00EB3C96" w:rsidRDefault="006D0CC3" w:rsidP="00BC1B83">
            <w:pPr>
              <w:jc w:val="right"/>
              <w:rPr>
                <w:rFonts w:ascii="Calibri" w:eastAsia="Times New Roman" w:hAnsi="Calibri" w:cs="Calibri"/>
                <w:color w:val="000000"/>
              </w:rPr>
            </w:pPr>
            <w:r w:rsidRPr="00EB3C96">
              <w:rPr>
                <w:rFonts w:ascii="Calibri" w:eastAsia="Times New Roman" w:hAnsi="Calibri" w:cs="Calibri"/>
                <w:color w:val="000000"/>
              </w:rPr>
              <w:t>21.417.832</w:t>
            </w:r>
          </w:p>
        </w:tc>
      </w:tr>
      <w:tr w:rsidR="006D0CC3" w:rsidRPr="00EB3C96" w14:paraId="231C8B13" w14:textId="77777777" w:rsidTr="00BC1B83">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DCF538E" w14:textId="77777777" w:rsidR="006D0CC3" w:rsidRPr="00EB3C96" w:rsidRDefault="006D0CC3" w:rsidP="00BC1B83">
            <w:pPr>
              <w:jc w:val="center"/>
              <w:rPr>
                <w:rFonts w:ascii="Calibri" w:eastAsia="Times New Roman" w:hAnsi="Calibri" w:cs="Calibri"/>
                <w:b/>
                <w:bCs/>
                <w:color w:val="FFFFFF"/>
                <w:sz w:val="20"/>
                <w:szCs w:val="20"/>
              </w:rPr>
            </w:pPr>
            <w:r w:rsidRPr="00EB3C96">
              <w:rPr>
                <w:rFonts w:ascii="Calibri" w:eastAsia="Times New Roman" w:hAnsi="Calibri" w:cs="Calibri"/>
                <w:b/>
                <w:bCs/>
                <w:color w:val="FFFFFF"/>
                <w:sz w:val="20"/>
                <w:szCs w:val="20"/>
              </w:rPr>
              <w:t>Indigencia</w:t>
            </w:r>
          </w:p>
        </w:tc>
        <w:tc>
          <w:tcPr>
            <w:tcW w:w="946" w:type="dxa"/>
            <w:tcBorders>
              <w:top w:val="nil"/>
              <w:left w:val="nil"/>
              <w:bottom w:val="single" w:sz="4" w:space="0" w:color="auto"/>
              <w:right w:val="single" w:sz="4" w:space="0" w:color="auto"/>
            </w:tcBorders>
            <w:shd w:val="clear" w:color="auto" w:fill="auto"/>
            <w:noWrap/>
            <w:vAlign w:val="bottom"/>
            <w:hideMark/>
          </w:tcPr>
          <w:p w14:paraId="05C5383F" w14:textId="77777777" w:rsidR="006D0CC3" w:rsidRPr="00EB3C96" w:rsidRDefault="006D0CC3" w:rsidP="00BC1B83">
            <w:pPr>
              <w:jc w:val="right"/>
              <w:rPr>
                <w:rFonts w:ascii="Calibri" w:eastAsia="Times New Roman" w:hAnsi="Calibri" w:cs="Calibri"/>
                <w:color w:val="000000"/>
              </w:rPr>
            </w:pPr>
            <w:r w:rsidRPr="00EB3C96">
              <w:rPr>
                <w:rFonts w:ascii="Calibri" w:eastAsia="Times New Roman" w:hAnsi="Calibri" w:cs="Calibri"/>
                <w:color w:val="000000"/>
              </w:rPr>
              <w:t>12,4%</w:t>
            </w:r>
          </w:p>
        </w:tc>
        <w:tc>
          <w:tcPr>
            <w:tcW w:w="1694" w:type="dxa"/>
            <w:tcBorders>
              <w:top w:val="nil"/>
              <w:left w:val="nil"/>
              <w:bottom w:val="single" w:sz="4" w:space="0" w:color="auto"/>
              <w:right w:val="single" w:sz="4" w:space="0" w:color="auto"/>
            </w:tcBorders>
            <w:shd w:val="clear" w:color="auto" w:fill="auto"/>
            <w:noWrap/>
            <w:vAlign w:val="bottom"/>
            <w:hideMark/>
          </w:tcPr>
          <w:p w14:paraId="7A0B6B33" w14:textId="77777777" w:rsidR="006D0CC3" w:rsidRPr="00EB3C96" w:rsidRDefault="006D0CC3" w:rsidP="00BC1B83">
            <w:pPr>
              <w:jc w:val="right"/>
              <w:rPr>
                <w:rFonts w:ascii="Calibri" w:eastAsia="Times New Roman" w:hAnsi="Calibri" w:cs="Calibri"/>
                <w:color w:val="000000"/>
              </w:rPr>
            </w:pPr>
            <w:r w:rsidRPr="00EB3C96">
              <w:rPr>
                <w:rFonts w:ascii="Calibri" w:eastAsia="Times New Roman" w:hAnsi="Calibri" w:cs="Calibri"/>
                <w:color w:val="000000"/>
              </w:rPr>
              <w:t>5.626.719</w:t>
            </w:r>
          </w:p>
        </w:tc>
      </w:tr>
    </w:tbl>
    <w:bookmarkEnd w:id="0"/>
    <w:p w14:paraId="0283FD08" w14:textId="0EC2B398" w:rsidR="005D56DD" w:rsidRPr="006D0CC3" w:rsidRDefault="006D0CC3" w:rsidP="006D0CC3">
      <w:pPr>
        <w:spacing w:before="240" w:after="240"/>
        <w:jc w:val="center"/>
        <w:rPr>
          <w:sz w:val="20"/>
          <w:szCs w:val="20"/>
        </w:rPr>
      </w:pPr>
      <w:r w:rsidRPr="006D0CC3">
        <w:rPr>
          <w:sz w:val="20"/>
          <w:szCs w:val="20"/>
        </w:rPr>
        <w:t>Fuente: Elaboración propia en base a EPH – INDEC.</w:t>
      </w:r>
    </w:p>
    <w:p w14:paraId="1C8ECF03" w14:textId="7505C251" w:rsidR="005D56DD" w:rsidRDefault="00BC1B83">
      <w:pPr>
        <w:spacing w:before="240" w:after="240"/>
        <w:ind w:firstLine="700"/>
        <w:jc w:val="both"/>
      </w:pPr>
      <w:r>
        <w:t xml:space="preserve">Como se observa del gráfico, los valores de pobreza e indigencia vigentes han alcanzado los máximos históricos retornando a los niveles de finales del año 2003 o al de la hiper. No obstante, también puede verificarse de la evolución expuesta que luego de las crisis agudas sucede un tiempo de recomposición y restauración de las condiciones de vida. Sin embargo, el segundo aspecto asociado con lo anterior consiste en </w:t>
      </w:r>
      <w:r w:rsidR="006D0CC3">
        <w:t>que,</w:t>
      </w:r>
      <w:r>
        <w:t xml:space="preserve"> así como el período posterior a los picos de empobrecimiento suele estar signado por el descenso de estos niveles, nunca se logra regresar a los niveles de pobreza anteriores al salto </w:t>
      </w:r>
      <w:proofErr w:type="gramStart"/>
      <w:r>
        <w:t>y</w:t>
      </w:r>
      <w:proofErr w:type="gramEnd"/>
      <w:r>
        <w:t xml:space="preserve"> por lo tanto, se inauguran secuencialmente en la historia nuevos pisos de pobreza estructuralmente más elevados. Lo que quisiéramos alertar aquí es que, la gravedad del hecho de que estemos orillando hoy el 50% de pobreza en la Argentina es doble: no sólo por lo alarmante de la situación inmediata sino también por las altas probabilidad de que, de no mediar transformaciones profundas, asistamos al comienzo de una nueva fase con una pobreza estructural más extendida.</w:t>
      </w:r>
    </w:p>
    <w:p w14:paraId="696351E4" w14:textId="77777777" w:rsidR="000260C7" w:rsidRDefault="000260C7">
      <w:pPr>
        <w:spacing w:before="240" w:after="240"/>
        <w:ind w:firstLine="700"/>
      </w:pPr>
    </w:p>
    <w:p w14:paraId="2DA854EC" w14:textId="02C20C6D" w:rsidR="005D56DD" w:rsidRDefault="00BC1B83">
      <w:pPr>
        <w:spacing w:before="240" w:after="240"/>
        <w:ind w:firstLine="700"/>
      </w:pPr>
      <w:r>
        <w:t xml:space="preserve"> </w:t>
      </w:r>
    </w:p>
    <w:p w14:paraId="2DCEC05F" w14:textId="77777777" w:rsidR="005D56DD" w:rsidRDefault="00BC1B83">
      <w:pPr>
        <w:spacing w:before="240" w:after="240"/>
      </w:pPr>
      <w:r>
        <w:lastRenderedPageBreak/>
        <w:t xml:space="preserve">Gráfico: Evolución histórica de la tasa de pobreza e indigencia. Período </w:t>
      </w:r>
      <w:proofErr w:type="gramStart"/>
      <w:r>
        <w:t>Octubre</w:t>
      </w:r>
      <w:proofErr w:type="gramEnd"/>
      <w:r>
        <w:t xml:space="preserve"> 1988 - 2do trimestre 2020.</w:t>
      </w:r>
    </w:p>
    <w:p w14:paraId="6FB6BFCB" w14:textId="77777777" w:rsidR="005D56DD" w:rsidRDefault="00BC1B83">
      <w:pPr>
        <w:spacing w:before="240" w:after="240"/>
      </w:pPr>
      <w:r>
        <w:rPr>
          <w:noProof/>
        </w:rPr>
        <w:drawing>
          <wp:inline distT="114300" distB="114300" distL="114300" distR="114300" wp14:anchorId="11D8E4C8" wp14:editId="48CD87C6">
            <wp:extent cx="5731200" cy="2565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31200" cy="2565400"/>
                    </a:xfrm>
                    <a:prstGeom prst="rect">
                      <a:avLst/>
                    </a:prstGeom>
                    <a:ln/>
                  </pic:spPr>
                </pic:pic>
              </a:graphicData>
            </a:graphic>
          </wp:inline>
        </w:drawing>
      </w:r>
    </w:p>
    <w:tbl>
      <w:tblPr>
        <w:tblW w:w="8838" w:type="dxa"/>
        <w:tblCellMar>
          <w:left w:w="70" w:type="dxa"/>
          <w:right w:w="70" w:type="dxa"/>
        </w:tblCellMar>
        <w:tblLook w:val="04A0" w:firstRow="1" w:lastRow="0" w:firstColumn="1" w:lastColumn="0" w:noHBand="0" w:noVBand="1"/>
      </w:tblPr>
      <w:tblGrid>
        <w:gridCol w:w="8838"/>
      </w:tblGrid>
      <w:tr w:rsidR="00546F3F" w:rsidRPr="00546F3F" w14:paraId="6CF8777A" w14:textId="77777777" w:rsidTr="00546F3F">
        <w:trPr>
          <w:trHeight w:val="255"/>
        </w:trPr>
        <w:tc>
          <w:tcPr>
            <w:tcW w:w="8838" w:type="dxa"/>
            <w:tcBorders>
              <w:top w:val="nil"/>
              <w:left w:val="nil"/>
              <w:bottom w:val="nil"/>
              <w:right w:val="nil"/>
            </w:tcBorders>
            <w:shd w:val="clear" w:color="auto" w:fill="auto"/>
            <w:noWrap/>
            <w:vAlign w:val="bottom"/>
            <w:hideMark/>
          </w:tcPr>
          <w:p w14:paraId="2B3D627F" w14:textId="77777777" w:rsidR="00546F3F" w:rsidRPr="00546F3F" w:rsidRDefault="00546F3F" w:rsidP="00546F3F">
            <w:pPr>
              <w:spacing w:line="240" w:lineRule="auto"/>
              <w:rPr>
                <w:rFonts w:ascii="Arial Narrow" w:eastAsia="Times New Roman" w:hAnsi="Arial Narrow" w:cs="Calibri"/>
                <w:color w:val="000000"/>
                <w:sz w:val="20"/>
                <w:szCs w:val="20"/>
                <w:lang w:val="es-AR"/>
              </w:rPr>
            </w:pPr>
            <w:r w:rsidRPr="00546F3F">
              <w:rPr>
                <w:rFonts w:ascii="Arial Narrow" w:eastAsia="Times New Roman" w:hAnsi="Arial Narrow" w:cs="Calibri"/>
                <w:color w:val="000000"/>
                <w:sz w:val="20"/>
                <w:szCs w:val="20"/>
                <w:lang w:val="es-AR"/>
              </w:rPr>
              <w:t>Hasta Oct-00 las tasas corresponden al GBA</w:t>
            </w:r>
          </w:p>
        </w:tc>
      </w:tr>
      <w:tr w:rsidR="00546F3F" w:rsidRPr="00546F3F" w14:paraId="617AA4DF" w14:textId="77777777" w:rsidTr="00546F3F">
        <w:trPr>
          <w:trHeight w:val="255"/>
        </w:trPr>
        <w:tc>
          <w:tcPr>
            <w:tcW w:w="8838" w:type="dxa"/>
            <w:tcBorders>
              <w:top w:val="nil"/>
              <w:left w:val="nil"/>
              <w:bottom w:val="nil"/>
              <w:right w:val="nil"/>
            </w:tcBorders>
            <w:shd w:val="clear" w:color="auto" w:fill="auto"/>
            <w:noWrap/>
            <w:vAlign w:val="bottom"/>
            <w:hideMark/>
          </w:tcPr>
          <w:p w14:paraId="130C7F41" w14:textId="77777777" w:rsidR="00546F3F" w:rsidRPr="00546F3F" w:rsidRDefault="00546F3F" w:rsidP="00546F3F">
            <w:pPr>
              <w:spacing w:line="240" w:lineRule="auto"/>
              <w:rPr>
                <w:rFonts w:ascii="Arial Narrow" w:eastAsia="Times New Roman" w:hAnsi="Arial Narrow" w:cs="Calibri"/>
                <w:color w:val="000000"/>
                <w:sz w:val="20"/>
                <w:szCs w:val="20"/>
                <w:lang w:val="es-AR"/>
              </w:rPr>
            </w:pPr>
            <w:r w:rsidRPr="00546F3F">
              <w:rPr>
                <w:rFonts w:ascii="Arial Narrow" w:eastAsia="Times New Roman" w:hAnsi="Arial Narrow" w:cs="Calibri"/>
                <w:color w:val="000000"/>
                <w:sz w:val="20"/>
                <w:szCs w:val="20"/>
                <w:lang w:val="es-AR"/>
              </w:rPr>
              <w:t>Desde Oct-00 a Oct-02, serie de la metodología puntual para el Total Aglomerados Urbanos</w:t>
            </w:r>
          </w:p>
        </w:tc>
      </w:tr>
      <w:tr w:rsidR="00546F3F" w:rsidRPr="00546F3F" w14:paraId="4C2D7571" w14:textId="77777777" w:rsidTr="00546F3F">
        <w:trPr>
          <w:trHeight w:val="255"/>
        </w:trPr>
        <w:tc>
          <w:tcPr>
            <w:tcW w:w="8838" w:type="dxa"/>
            <w:tcBorders>
              <w:top w:val="nil"/>
              <w:left w:val="nil"/>
              <w:bottom w:val="nil"/>
              <w:right w:val="nil"/>
            </w:tcBorders>
            <w:shd w:val="clear" w:color="auto" w:fill="auto"/>
            <w:noWrap/>
            <w:vAlign w:val="bottom"/>
            <w:hideMark/>
          </w:tcPr>
          <w:p w14:paraId="3913EB0F" w14:textId="77777777" w:rsidR="00546F3F" w:rsidRPr="00546F3F" w:rsidRDefault="00546F3F" w:rsidP="00546F3F">
            <w:pPr>
              <w:spacing w:line="240" w:lineRule="auto"/>
              <w:rPr>
                <w:rFonts w:ascii="Arial Narrow" w:eastAsia="Times New Roman" w:hAnsi="Arial Narrow" w:cs="Calibri"/>
                <w:color w:val="000000"/>
                <w:sz w:val="20"/>
                <w:szCs w:val="20"/>
                <w:lang w:val="es-AR"/>
              </w:rPr>
            </w:pPr>
            <w:r w:rsidRPr="00546F3F">
              <w:rPr>
                <w:rFonts w:ascii="Arial Narrow" w:eastAsia="Times New Roman" w:hAnsi="Arial Narrow" w:cs="Calibri"/>
                <w:color w:val="000000"/>
                <w:sz w:val="20"/>
                <w:szCs w:val="20"/>
                <w:lang w:val="es-AR"/>
              </w:rPr>
              <w:t>Desde 2do semestre 2003 al 2do semestre 2006, serie metodología continua para el Total Aglomerados Urbanos</w:t>
            </w:r>
          </w:p>
        </w:tc>
      </w:tr>
      <w:tr w:rsidR="00546F3F" w:rsidRPr="00546F3F" w14:paraId="0A18E922" w14:textId="77777777" w:rsidTr="00546F3F">
        <w:trPr>
          <w:trHeight w:val="255"/>
        </w:trPr>
        <w:tc>
          <w:tcPr>
            <w:tcW w:w="8838" w:type="dxa"/>
            <w:tcBorders>
              <w:top w:val="nil"/>
              <w:left w:val="nil"/>
              <w:bottom w:val="nil"/>
              <w:right w:val="nil"/>
            </w:tcBorders>
            <w:shd w:val="clear" w:color="auto" w:fill="auto"/>
            <w:noWrap/>
            <w:vAlign w:val="bottom"/>
            <w:hideMark/>
          </w:tcPr>
          <w:p w14:paraId="06FF4579" w14:textId="77777777" w:rsidR="00546F3F" w:rsidRPr="00546F3F" w:rsidRDefault="00546F3F" w:rsidP="00546F3F">
            <w:pPr>
              <w:spacing w:line="240" w:lineRule="auto"/>
              <w:rPr>
                <w:rFonts w:ascii="Arial Narrow" w:eastAsia="Times New Roman" w:hAnsi="Arial Narrow" w:cs="Calibri"/>
                <w:color w:val="000000"/>
                <w:sz w:val="20"/>
                <w:szCs w:val="20"/>
                <w:lang w:val="es-AR"/>
              </w:rPr>
            </w:pPr>
            <w:r w:rsidRPr="00546F3F">
              <w:rPr>
                <w:rFonts w:ascii="Arial Narrow" w:eastAsia="Times New Roman" w:hAnsi="Arial Narrow" w:cs="Calibri"/>
                <w:color w:val="000000"/>
                <w:sz w:val="20"/>
                <w:szCs w:val="20"/>
                <w:lang w:val="es-AR"/>
              </w:rPr>
              <w:t>A partir del 4to trimestre 2007 (ejercicio también con el 2do semestre 2006) elaboración propia con las bases de la EPH continua para el Total Aglomerados Urbanos con la nueva metodología de cálculo (INDEC, 2016)</w:t>
            </w:r>
          </w:p>
        </w:tc>
      </w:tr>
    </w:tbl>
    <w:p w14:paraId="50E8D34B" w14:textId="05CA7697" w:rsidR="005D56DD" w:rsidRDefault="00BC1B83">
      <w:pPr>
        <w:spacing w:before="240" w:after="240"/>
        <w:rPr>
          <w:sz w:val="20"/>
          <w:szCs w:val="20"/>
        </w:rPr>
      </w:pPr>
      <w:r>
        <w:rPr>
          <w:sz w:val="20"/>
          <w:szCs w:val="20"/>
        </w:rPr>
        <w:t xml:space="preserve">Los valores expuestos a partir del 2do semestre 2006 corresponden a una estimación en base a los criterios de actualización metodológica realizados por le EPH - INDEC (ver: </w:t>
      </w:r>
      <w:hyperlink r:id="rId9">
        <w:r>
          <w:rPr>
            <w:color w:val="1155CC"/>
            <w:sz w:val="20"/>
            <w:szCs w:val="20"/>
            <w:u w:val="single"/>
          </w:rPr>
          <w:t>La medición de la pobreza y la indigencia en la Argentina</w:t>
        </w:r>
      </w:hyperlink>
      <w:r>
        <w:rPr>
          <w:sz w:val="20"/>
          <w:szCs w:val="20"/>
        </w:rPr>
        <w:t>).</w:t>
      </w:r>
    </w:p>
    <w:p w14:paraId="0EFECA87" w14:textId="77777777" w:rsidR="005D56DD" w:rsidRDefault="00BC1B83">
      <w:pPr>
        <w:spacing w:before="240" w:after="240"/>
        <w:ind w:firstLine="700"/>
        <w:jc w:val="both"/>
      </w:pPr>
      <w:r>
        <w:t xml:space="preserve"> </w:t>
      </w:r>
    </w:p>
    <w:p w14:paraId="5FAC4E32" w14:textId="77777777" w:rsidR="005D56DD" w:rsidRDefault="00BC1B83">
      <w:pPr>
        <w:spacing w:before="240" w:after="240"/>
        <w:ind w:firstLine="700"/>
        <w:jc w:val="both"/>
      </w:pPr>
      <w:r>
        <w:t xml:space="preserve">Hace un año, a mediados del 2019, la situación social acumulaba un fuerte deterioro - recordemos que luego del fatídico 2018 la tasa de pobreza se sostenía por encima del 35% y enfrentaba un nuevo escenario devaluatorio- que ubicaba a la pobreza en el 36,7% y el 8,3% la indigencia durante el segundo trimestre 2019. De esta manera, los niveles actuales implican un aumento de 10 p.p. del índice de pobreza (+28,6% de la tasa) como resultado del empobrecimiento de casi 5 millones de personas y un aumento de 4 p.p. de la tasa de indigencia a raíz de la extensión del hambre que sumó a casi 2 millones de personas a la indigencia. Un deterioro de las condiciones de vida de la población similar al experimentado durante el año de mayor ajuste macrista (del 10 p.p. en pobreza y 4 p.p. en indigencia aproximadamente). En definitiva, </w:t>
      </w:r>
      <w:r>
        <w:rPr>
          <w:i/>
        </w:rPr>
        <w:t>ayer</w:t>
      </w:r>
      <w:r>
        <w:t xml:space="preserve"> la pandemia fondomonetarista y </w:t>
      </w:r>
      <w:r>
        <w:rPr>
          <w:i/>
        </w:rPr>
        <w:t>hoy</w:t>
      </w:r>
      <w:r>
        <w:t xml:space="preserve"> la pandemia del </w:t>
      </w:r>
      <w:proofErr w:type="spellStart"/>
      <w:r>
        <w:t>Covid</w:t>
      </w:r>
      <w:proofErr w:type="spellEnd"/>
      <w:r>
        <w:t xml:space="preserve"> están detrás de las causas del sufrimiento de millones de personas.</w:t>
      </w:r>
    </w:p>
    <w:p w14:paraId="7040B3FF" w14:textId="14E8BB25" w:rsidR="005D56DD" w:rsidRDefault="00BC1B83">
      <w:pPr>
        <w:spacing w:before="240" w:after="240"/>
        <w:ind w:firstLine="700"/>
        <w:jc w:val="both"/>
      </w:pPr>
      <w:r>
        <w:t xml:space="preserve"> </w:t>
      </w:r>
    </w:p>
    <w:p w14:paraId="3F604179" w14:textId="6ABCA049" w:rsidR="00546F3F" w:rsidRDefault="00546F3F">
      <w:pPr>
        <w:spacing w:before="240" w:after="240"/>
        <w:ind w:firstLine="700"/>
        <w:jc w:val="both"/>
      </w:pPr>
    </w:p>
    <w:p w14:paraId="615E0ED9" w14:textId="706C7E1C" w:rsidR="00546F3F" w:rsidRDefault="00546F3F">
      <w:pPr>
        <w:spacing w:before="240" w:after="240"/>
        <w:ind w:firstLine="700"/>
        <w:jc w:val="both"/>
      </w:pPr>
    </w:p>
    <w:p w14:paraId="1CC55C83" w14:textId="77777777" w:rsidR="00546F3F" w:rsidRDefault="00546F3F">
      <w:pPr>
        <w:spacing w:before="240" w:after="240"/>
        <w:ind w:firstLine="700"/>
        <w:jc w:val="both"/>
      </w:pPr>
    </w:p>
    <w:p w14:paraId="1ADCFE97" w14:textId="5885B143" w:rsidR="008B01F6" w:rsidRDefault="008B01F6" w:rsidP="008B01F6">
      <w:pPr>
        <w:jc w:val="both"/>
        <w:rPr>
          <w:lang w:val="es-ES"/>
        </w:rPr>
      </w:pPr>
      <w:r>
        <w:rPr>
          <w:lang w:val="es-ES"/>
        </w:rPr>
        <w:lastRenderedPageBreak/>
        <w:t>Cuadro 2: Evolución interanual de la pobreza e indigencia. 2do trimestre 2020 vs 2019.</w:t>
      </w:r>
    </w:p>
    <w:tbl>
      <w:tblPr>
        <w:tblW w:w="7740" w:type="dxa"/>
        <w:jc w:val="center"/>
        <w:tblCellMar>
          <w:left w:w="70" w:type="dxa"/>
          <w:right w:w="70" w:type="dxa"/>
        </w:tblCellMar>
        <w:tblLook w:val="04A0" w:firstRow="1" w:lastRow="0" w:firstColumn="1" w:lastColumn="0" w:noHBand="0" w:noVBand="1"/>
      </w:tblPr>
      <w:tblGrid>
        <w:gridCol w:w="1740"/>
        <w:gridCol w:w="866"/>
        <w:gridCol w:w="1534"/>
        <w:gridCol w:w="926"/>
        <w:gridCol w:w="1474"/>
        <w:gridCol w:w="1200"/>
      </w:tblGrid>
      <w:tr w:rsidR="008B01F6" w:rsidRPr="0018748B" w14:paraId="2CE7D859" w14:textId="77777777" w:rsidTr="00BC1B83">
        <w:trPr>
          <w:trHeight w:val="300"/>
          <w:jc w:val="center"/>
        </w:trPr>
        <w:tc>
          <w:tcPr>
            <w:tcW w:w="1740" w:type="dxa"/>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B1FB7DB" w14:textId="77777777" w:rsidR="008B01F6" w:rsidRPr="0018748B" w:rsidRDefault="008B01F6" w:rsidP="00BC1B83">
            <w:pPr>
              <w:jc w:val="center"/>
              <w:rPr>
                <w:rFonts w:ascii="Calibri" w:eastAsia="Times New Roman" w:hAnsi="Calibri" w:cs="Calibri"/>
                <w:b/>
                <w:bCs/>
                <w:color w:val="FFFFFF"/>
                <w:sz w:val="20"/>
                <w:szCs w:val="20"/>
              </w:rPr>
            </w:pPr>
            <w:r w:rsidRPr="0018748B">
              <w:rPr>
                <w:rFonts w:ascii="Calibri" w:eastAsia="Times New Roman" w:hAnsi="Calibri" w:cs="Calibri"/>
                <w:b/>
                <w:bCs/>
                <w:color w:val="FFFFFF"/>
                <w:sz w:val="20"/>
                <w:szCs w:val="20"/>
              </w:rPr>
              <w:t> </w:t>
            </w:r>
          </w:p>
        </w:tc>
        <w:tc>
          <w:tcPr>
            <w:tcW w:w="2400" w:type="dxa"/>
            <w:gridSpan w:val="2"/>
            <w:tcBorders>
              <w:top w:val="single" w:sz="4" w:space="0" w:color="auto"/>
              <w:left w:val="nil"/>
              <w:bottom w:val="single" w:sz="4" w:space="0" w:color="auto"/>
              <w:right w:val="single" w:sz="4" w:space="0" w:color="auto"/>
            </w:tcBorders>
            <w:shd w:val="clear" w:color="000000" w:fill="0070C0"/>
            <w:noWrap/>
            <w:vAlign w:val="center"/>
            <w:hideMark/>
          </w:tcPr>
          <w:p w14:paraId="7ADD0D98" w14:textId="77777777" w:rsidR="008B01F6" w:rsidRPr="0018748B" w:rsidRDefault="008B01F6" w:rsidP="00BC1B83">
            <w:pPr>
              <w:jc w:val="center"/>
              <w:rPr>
                <w:rFonts w:ascii="Calibri" w:eastAsia="Times New Roman" w:hAnsi="Calibri" w:cs="Calibri"/>
                <w:b/>
                <w:bCs/>
                <w:color w:val="FFFFFF"/>
                <w:sz w:val="20"/>
                <w:szCs w:val="20"/>
              </w:rPr>
            </w:pPr>
            <w:r w:rsidRPr="0018748B">
              <w:rPr>
                <w:rFonts w:ascii="Calibri" w:eastAsia="Times New Roman" w:hAnsi="Calibri" w:cs="Calibri"/>
                <w:b/>
                <w:bCs/>
                <w:color w:val="FFFFFF"/>
                <w:sz w:val="20"/>
                <w:szCs w:val="20"/>
              </w:rPr>
              <w:t>Pobreza</w:t>
            </w:r>
          </w:p>
        </w:tc>
        <w:tc>
          <w:tcPr>
            <w:tcW w:w="2400" w:type="dxa"/>
            <w:gridSpan w:val="2"/>
            <w:tcBorders>
              <w:top w:val="single" w:sz="4" w:space="0" w:color="auto"/>
              <w:left w:val="nil"/>
              <w:bottom w:val="single" w:sz="4" w:space="0" w:color="auto"/>
              <w:right w:val="single" w:sz="4" w:space="0" w:color="auto"/>
            </w:tcBorders>
            <w:shd w:val="clear" w:color="000000" w:fill="0070C0"/>
            <w:noWrap/>
            <w:vAlign w:val="center"/>
            <w:hideMark/>
          </w:tcPr>
          <w:p w14:paraId="0D5F7389" w14:textId="77777777" w:rsidR="008B01F6" w:rsidRPr="0018748B" w:rsidRDefault="008B01F6" w:rsidP="00BC1B83">
            <w:pPr>
              <w:jc w:val="center"/>
              <w:rPr>
                <w:rFonts w:ascii="Calibri" w:eastAsia="Times New Roman" w:hAnsi="Calibri" w:cs="Calibri"/>
                <w:b/>
                <w:bCs/>
                <w:color w:val="FFFFFF"/>
                <w:sz w:val="20"/>
                <w:szCs w:val="20"/>
              </w:rPr>
            </w:pPr>
            <w:r w:rsidRPr="0018748B">
              <w:rPr>
                <w:rFonts w:ascii="Calibri" w:eastAsia="Times New Roman" w:hAnsi="Calibri" w:cs="Calibri"/>
                <w:b/>
                <w:bCs/>
                <w:color w:val="FFFFFF"/>
                <w:sz w:val="20"/>
                <w:szCs w:val="20"/>
              </w:rPr>
              <w:t>Indigencia</w:t>
            </w:r>
          </w:p>
        </w:tc>
        <w:tc>
          <w:tcPr>
            <w:tcW w:w="1200" w:type="dxa"/>
            <w:tcBorders>
              <w:top w:val="single" w:sz="4" w:space="0" w:color="auto"/>
              <w:left w:val="nil"/>
              <w:bottom w:val="nil"/>
              <w:right w:val="single" w:sz="4" w:space="0" w:color="auto"/>
            </w:tcBorders>
            <w:shd w:val="clear" w:color="000000" w:fill="0070C0"/>
            <w:vAlign w:val="center"/>
            <w:hideMark/>
          </w:tcPr>
          <w:p w14:paraId="21E0173A" w14:textId="77777777" w:rsidR="008B01F6" w:rsidRPr="0018748B" w:rsidRDefault="008B01F6" w:rsidP="00BC1B83">
            <w:pPr>
              <w:jc w:val="center"/>
              <w:rPr>
                <w:rFonts w:ascii="Calibri" w:eastAsia="Times New Roman" w:hAnsi="Calibri" w:cs="Calibri"/>
                <w:b/>
                <w:bCs/>
                <w:color w:val="FFFFFF"/>
                <w:sz w:val="20"/>
                <w:szCs w:val="20"/>
              </w:rPr>
            </w:pPr>
            <w:r w:rsidRPr="0018748B">
              <w:rPr>
                <w:rFonts w:ascii="Calibri" w:eastAsia="Times New Roman" w:hAnsi="Calibri" w:cs="Calibri"/>
                <w:b/>
                <w:bCs/>
                <w:color w:val="FFFFFF"/>
                <w:sz w:val="20"/>
                <w:szCs w:val="20"/>
              </w:rPr>
              <w:t>Población</w:t>
            </w:r>
          </w:p>
        </w:tc>
      </w:tr>
      <w:tr w:rsidR="008B01F6" w:rsidRPr="0018748B" w14:paraId="28E3612B" w14:textId="77777777" w:rsidTr="00BC1B83">
        <w:trPr>
          <w:trHeight w:val="300"/>
          <w:jc w:val="center"/>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5563A4B9" w14:textId="77777777" w:rsidR="008B01F6" w:rsidRPr="0018748B" w:rsidRDefault="008B01F6" w:rsidP="00BC1B83">
            <w:pPr>
              <w:rPr>
                <w:rFonts w:ascii="Calibri" w:eastAsia="Times New Roman" w:hAnsi="Calibri" w:cs="Calibri"/>
                <w:b/>
                <w:bCs/>
                <w:color w:val="FFFFFF"/>
                <w:sz w:val="20"/>
                <w:szCs w:val="20"/>
              </w:rPr>
            </w:pPr>
          </w:p>
        </w:tc>
        <w:tc>
          <w:tcPr>
            <w:tcW w:w="866" w:type="dxa"/>
            <w:tcBorders>
              <w:top w:val="nil"/>
              <w:left w:val="nil"/>
              <w:bottom w:val="single" w:sz="4" w:space="0" w:color="auto"/>
              <w:right w:val="single" w:sz="4" w:space="0" w:color="auto"/>
            </w:tcBorders>
            <w:shd w:val="clear" w:color="000000" w:fill="0070C0"/>
            <w:noWrap/>
            <w:vAlign w:val="center"/>
            <w:hideMark/>
          </w:tcPr>
          <w:p w14:paraId="6AB3379A" w14:textId="77777777" w:rsidR="008B01F6" w:rsidRPr="0018748B" w:rsidRDefault="008B01F6" w:rsidP="00BC1B83">
            <w:pPr>
              <w:jc w:val="center"/>
              <w:rPr>
                <w:rFonts w:ascii="Calibri" w:eastAsia="Times New Roman" w:hAnsi="Calibri" w:cs="Calibri"/>
                <w:b/>
                <w:bCs/>
                <w:color w:val="FFFFFF"/>
                <w:sz w:val="20"/>
                <w:szCs w:val="20"/>
              </w:rPr>
            </w:pPr>
            <w:r w:rsidRPr="0018748B">
              <w:rPr>
                <w:rFonts w:ascii="Calibri" w:eastAsia="Times New Roman" w:hAnsi="Calibri" w:cs="Calibri"/>
                <w:b/>
                <w:bCs/>
                <w:color w:val="FFFFFF"/>
                <w:sz w:val="20"/>
                <w:szCs w:val="20"/>
              </w:rPr>
              <w:t>%</w:t>
            </w:r>
          </w:p>
        </w:tc>
        <w:tc>
          <w:tcPr>
            <w:tcW w:w="1534" w:type="dxa"/>
            <w:tcBorders>
              <w:top w:val="nil"/>
              <w:left w:val="nil"/>
              <w:bottom w:val="single" w:sz="4" w:space="0" w:color="auto"/>
              <w:right w:val="single" w:sz="4" w:space="0" w:color="auto"/>
            </w:tcBorders>
            <w:shd w:val="clear" w:color="000000" w:fill="0070C0"/>
            <w:noWrap/>
            <w:vAlign w:val="center"/>
            <w:hideMark/>
          </w:tcPr>
          <w:p w14:paraId="78690C72" w14:textId="77777777" w:rsidR="008B01F6" w:rsidRPr="0018748B" w:rsidRDefault="008B01F6" w:rsidP="00BC1B83">
            <w:pPr>
              <w:jc w:val="center"/>
              <w:rPr>
                <w:rFonts w:ascii="Calibri" w:eastAsia="Times New Roman" w:hAnsi="Calibri" w:cs="Calibri"/>
                <w:b/>
                <w:bCs/>
                <w:color w:val="FFFFFF"/>
                <w:sz w:val="20"/>
                <w:szCs w:val="20"/>
              </w:rPr>
            </w:pPr>
            <w:r w:rsidRPr="0018748B">
              <w:rPr>
                <w:rFonts w:ascii="Calibri" w:eastAsia="Times New Roman" w:hAnsi="Calibri" w:cs="Calibri"/>
                <w:b/>
                <w:bCs/>
                <w:color w:val="FFFFFF"/>
                <w:sz w:val="20"/>
                <w:szCs w:val="20"/>
              </w:rPr>
              <w:t>Población</w:t>
            </w:r>
          </w:p>
        </w:tc>
        <w:tc>
          <w:tcPr>
            <w:tcW w:w="926" w:type="dxa"/>
            <w:tcBorders>
              <w:top w:val="nil"/>
              <w:left w:val="nil"/>
              <w:bottom w:val="single" w:sz="4" w:space="0" w:color="auto"/>
              <w:right w:val="single" w:sz="4" w:space="0" w:color="auto"/>
            </w:tcBorders>
            <w:shd w:val="clear" w:color="000000" w:fill="0070C0"/>
            <w:noWrap/>
            <w:vAlign w:val="center"/>
            <w:hideMark/>
          </w:tcPr>
          <w:p w14:paraId="710F7B21" w14:textId="77777777" w:rsidR="008B01F6" w:rsidRPr="0018748B" w:rsidRDefault="008B01F6" w:rsidP="00BC1B83">
            <w:pPr>
              <w:jc w:val="center"/>
              <w:rPr>
                <w:rFonts w:ascii="Calibri" w:eastAsia="Times New Roman" w:hAnsi="Calibri" w:cs="Calibri"/>
                <w:b/>
                <w:bCs/>
                <w:color w:val="FFFFFF"/>
                <w:sz w:val="20"/>
                <w:szCs w:val="20"/>
              </w:rPr>
            </w:pPr>
            <w:r w:rsidRPr="0018748B">
              <w:rPr>
                <w:rFonts w:ascii="Calibri" w:eastAsia="Times New Roman" w:hAnsi="Calibri" w:cs="Calibri"/>
                <w:b/>
                <w:bCs/>
                <w:color w:val="FFFFFF"/>
                <w:sz w:val="20"/>
                <w:szCs w:val="20"/>
              </w:rPr>
              <w:t xml:space="preserve">% </w:t>
            </w:r>
          </w:p>
        </w:tc>
        <w:tc>
          <w:tcPr>
            <w:tcW w:w="1474" w:type="dxa"/>
            <w:tcBorders>
              <w:top w:val="nil"/>
              <w:left w:val="nil"/>
              <w:bottom w:val="single" w:sz="4" w:space="0" w:color="auto"/>
              <w:right w:val="single" w:sz="4" w:space="0" w:color="auto"/>
            </w:tcBorders>
            <w:shd w:val="clear" w:color="000000" w:fill="0070C0"/>
            <w:noWrap/>
            <w:vAlign w:val="center"/>
            <w:hideMark/>
          </w:tcPr>
          <w:p w14:paraId="79F39BCB" w14:textId="77777777" w:rsidR="008B01F6" w:rsidRPr="0018748B" w:rsidRDefault="008B01F6" w:rsidP="00BC1B83">
            <w:pPr>
              <w:jc w:val="center"/>
              <w:rPr>
                <w:rFonts w:ascii="Calibri" w:eastAsia="Times New Roman" w:hAnsi="Calibri" w:cs="Calibri"/>
                <w:b/>
                <w:bCs/>
                <w:color w:val="FFFFFF"/>
                <w:sz w:val="20"/>
                <w:szCs w:val="20"/>
              </w:rPr>
            </w:pPr>
            <w:r w:rsidRPr="0018748B">
              <w:rPr>
                <w:rFonts w:ascii="Calibri" w:eastAsia="Times New Roman" w:hAnsi="Calibri" w:cs="Calibri"/>
                <w:b/>
                <w:bCs/>
                <w:color w:val="FFFFFF"/>
                <w:sz w:val="20"/>
                <w:szCs w:val="20"/>
              </w:rPr>
              <w:t>Población</w:t>
            </w:r>
          </w:p>
        </w:tc>
        <w:tc>
          <w:tcPr>
            <w:tcW w:w="1200" w:type="dxa"/>
            <w:tcBorders>
              <w:top w:val="nil"/>
              <w:left w:val="nil"/>
              <w:bottom w:val="single" w:sz="4" w:space="0" w:color="auto"/>
              <w:right w:val="single" w:sz="4" w:space="0" w:color="auto"/>
            </w:tcBorders>
            <w:shd w:val="clear" w:color="000000" w:fill="0070C0"/>
            <w:vAlign w:val="center"/>
            <w:hideMark/>
          </w:tcPr>
          <w:p w14:paraId="11ACAFDD" w14:textId="77777777" w:rsidR="008B01F6" w:rsidRPr="0018748B" w:rsidRDefault="008B01F6" w:rsidP="00BC1B83">
            <w:pPr>
              <w:jc w:val="center"/>
              <w:rPr>
                <w:rFonts w:ascii="Calibri" w:eastAsia="Times New Roman" w:hAnsi="Calibri" w:cs="Calibri"/>
                <w:b/>
                <w:bCs/>
                <w:color w:val="FFFFFF"/>
                <w:sz w:val="20"/>
                <w:szCs w:val="20"/>
              </w:rPr>
            </w:pPr>
            <w:r w:rsidRPr="0018748B">
              <w:rPr>
                <w:rFonts w:ascii="Calibri" w:eastAsia="Times New Roman" w:hAnsi="Calibri" w:cs="Calibri"/>
                <w:b/>
                <w:bCs/>
                <w:color w:val="FFFFFF"/>
                <w:sz w:val="20"/>
                <w:szCs w:val="20"/>
              </w:rPr>
              <w:t>Total</w:t>
            </w:r>
          </w:p>
        </w:tc>
      </w:tr>
      <w:tr w:rsidR="008B01F6" w:rsidRPr="0018748B" w14:paraId="6A3F4918" w14:textId="77777777" w:rsidTr="00BC1B83">
        <w:trPr>
          <w:trHeight w:val="30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361364B8"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2º Trimestre 2019</w:t>
            </w:r>
          </w:p>
        </w:tc>
        <w:tc>
          <w:tcPr>
            <w:tcW w:w="866" w:type="dxa"/>
            <w:tcBorders>
              <w:top w:val="nil"/>
              <w:left w:val="nil"/>
              <w:bottom w:val="single" w:sz="4" w:space="0" w:color="auto"/>
              <w:right w:val="single" w:sz="4" w:space="0" w:color="auto"/>
            </w:tcBorders>
            <w:shd w:val="clear" w:color="auto" w:fill="auto"/>
            <w:noWrap/>
            <w:vAlign w:val="center"/>
            <w:hideMark/>
          </w:tcPr>
          <w:p w14:paraId="210BC63B"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36,7%</w:t>
            </w:r>
          </w:p>
        </w:tc>
        <w:tc>
          <w:tcPr>
            <w:tcW w:w="1534" w:type="dxa"/>
            <w:tcBorders>
              <w:top w:val="nil"/>
              <w:left w:val="nil"/>
              <w:bottom w:val="single" w:sz="4" w:space="0" w:color="auto"/>
              <w:right w:val="single" w:sz="4" w:space="0" w:color="auto"/>
            </w:tcBorders>
            <w:shd w:val="clear" w:color="auto" w:fill="auto"/>
            <w:noWrap/>
            <w:vAlign w:val="center"/>
            <w:hideMark/>
          </w:tcPr>
          <w:p w14:paraId="5BC081AD"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16.496.256</w:t>
            </w:r>
          </w:p>
        </w:tc>
        <w:tc>
          <w:tcPr>
            <w:tcW w:w="926" w:type="dxa"/>
            <w:tcBorders>
              <w:top w:val="nil"/>
              <w:left w:val="nil"/>
              <w:bottom w:val="single" w:sz="4" w:space="0" w:color="auto"/>
              <w:right w:val="single" w:sz="4" w:space="0" w:color="auto"/>
            </w:tcBorders>
            <w:shd w:val="clear" w:color="auto" w:fill="auto"/>
            <w:noWrap/>
            <w:vAlign w:val="center"/>
            <w:hideMark/>
          </w:tcPr>
          <w:p w14:paraId="033BA530"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8,3%</w:t>
            </w:r>
          </w:p>
        </w:tc>
        <w:tc>
          <w:tcPr>
            <w:tcW w:w="1474" w:type="dxa"/>
            <w:tcBorders>
              <w:top w:val="nil"/>
              <w:left w:val="nil"/>
              <w:bottom w:val="single" w:sz="4" w:space="0" w:color="auto"/>
              <w:right w:val="single" w:sz="4" w:space="0" w:color="auto"/>
            </w:tcBorders>
            <w:shd w:val="clear" w:color="auto" w:fill="auto"/>
            <w:noWrap/>
            <w:vAlign w:val="center"/>
            <w:hideMark/>
          </w:tcPr>
          <w:p w14:paraId="223CE606"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3.722.125</w:t>
            </w:r>
          </w:p>
        </w:tc>
        <w:tc>
          <w:tcPr>
            <w:tcW w:w="1200" w:type="dxa"/>
            <w:tcBorders>
              <w:top w:val="nil"/>
              <w:left w:val="nil"/>
              <w:bottom w:val="single" w:sz="4" w:space="0" w:color="auto"/>
              <w:right w:val="single" w:sz="4" w:space="0" w:color="auto"/>
            </w:tcBorders>
            <w:shd w:val="clear" w:color="auto" w:fill="auto"/>
            <w:noWrap/>
            <w:vAlign w:val="center"/>
            <w:hideMark/>
          </w:tcPr>
          <w:p w14:paraId="155147E1"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44.938.712</w:t>
            </w:r>
          </w:p>
        </w:tc>
      </w:tr>
      <w:tr w:rsidR="008B01F6" w:rsidRPr="0018748B" w14:paraId="60C8D18A" w14:textId="77777777" w:rsidTr="00BC1B83">
        <w:trPr>
          <w:trHeight w:val="30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18E40D11"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2º Trimestre 2020</w:t>
            </w:r>
          </w:p>
        </w:tc>
        <w:tc>
          <w:tcPr>
            <w:tcW w:w="866" w:type="dxa"/>
            <w:tcBorders>
              <w:top w:val="nil"/>
              <w:left w:val="nil"/>
              <w:bottom w:val="single" w:sz="4" w:space="0" w:color="auto"/>
              <w:right w:val="single" w:sz="4" w:space="0" w:color="auto"/>
            </w:tcBorders>
            <w:shd w:val="clear" w:color="auto" w:fill="auto"/>
            <w:noWrap/>
            <w:vAlign w:val="center"/>
            <w:hideMark/>
          </w:tcPr>
          <w:p w14:paraId="7FD5F580"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47,2%</w:t>
            </w:r>
          </w:p>
        </w:tc>
        <w:tc>
          <w:tcPr>
            <w:tcW w:w="1534" w:type="dxa"/>
            <w:tcBorders>
              <w:top w:val="nil"/>
              <w:left w:val="nil"/>
              <w:bottom w:val="single" w:sz="4" w:space="0" w:color="auto"/>
              <w:right w:val="single" w:sz="4" w:space="0" w:color="auto"/>
            </w:tcBorders>
            <w:shd w:val="clear" w:color="auto" w:fill="auto"/>
            <w:noWrap/>
            <w:vAlign w:val="center"/>
            <w:hideMark/>
          </w:tcPr>
          <w:p w14:paraId="4E3835C5"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21.417.832</w:t>
            </w:r>
          </w:p>
        </w:tc>
        <w:tc>
          <w:tcPr>
            <w:tcW w:w="926" w:type="dxa"/>
            <w:tcBorders>
              <w:top w:val="nil"/>
              <w:left w:val="nil"/>
              <w:bottom w:val="single" w:sz="4" w:space="0" w:color="auto"/>
              <w:right w:val="single" w:sz="4" w:space="0" w:color="auto"/>
            </w:tcBorders>
            <w:shd w:val="clear" w:color="auto" w:fill="auto"/>
            <w:noWrap/>
            <w:vAlign w:val="center"/>
            <w:hideMark/>
          </w:tcPr>
          <w:p w14:paraId="5D73B396"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12,4%</w:t>
            </w:r>
          </w:p>
        </w:tc>
        <w:tc>
          <w:tcPr>
            <w:tcW w:w="1474" w:type="dxa"/>
            <w:tcBorders>
              <w:top w:val="nil"/>
              <w:left w:val="nil"/>
              <w:bottom w:val="single" w:sz="4" w:space="0" w:color="auto"/>
              <w:right w:val="single" w:sz="4" w:space="0" w:color="auto"/>
            </w:tcBorders>
            <w:shd w:val="clear" w:color="auto" w:fill="auto"/>
            <w:noWrap/>
            <w:vAlign w:val="center"/>
            <w:hideMark/>
          </w:tcPr>
          <w:p w14:paraId="3ABD6659"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5.626.719</w:t>
            </w:r>
          </w:p>
        </w:tc>
        <w:tc>
          <w:tcPr>
            <w:tcW w:w="1200" w:type="dxa"/>
            <w:tcBorders>
              <w:top w:val="nil"/>
              <w:left w:val="nil"/>
              <w:bottom w:val="single" w:sz="4" w:space="0" w:color="auto"/>
              <w:right w:val="single" w:sz="4" w:space="0" w:color="auto"/>
            </w:tcBorders>
            <w:shd w:val="clear" w:color="auto" w:fill="auto"/>
            <w:noWrap/>
            <w:vAlign w:val="center"/>
            <w:hideMark/>
          </w:tcPr>
          <w:p w14:paraId="0F0C2A8B" w14:textId="77777777" w:rsidR="008B01F6" w:rsidRPr="0018748B" w:rsidRDefault="008B01F6" w:rsidP="00BC1B83">
            <w:pPr>
              <w:jc w:val="center"/>
              <w:rPr>
                <w:rFonts w:ascii="Calibri" w:eastAsia="Times New Roman" w:hAnsi="Calibri" w:cs="Calibri"/>
                <w:color w:val="000000"/>
                <w:sz w:val="20"/>
                <w:szCs w:val="20"/>
              </w:rPr>
            </w:pPr>
            <w:r w:rsidRPr="0018748B">
              <w:rPr>
                <w:rFonts w:ascii="Calibri" w:eastAsia="Times New Roman" w:hAnsi="Calibri" w:cs="Calibri"/>
                <w:color w:val="000000"/>
                <w:sz w:val="20"/>
                <w:szCs w:val="20"/>
              </w:rPr>
              <w:t>45.376.763</w:t>
            </w:r>
          </w:p>
        </w:tc>
      </w:tr>
      <w:tr w:rsidR="008B01F6" w:rsidRPr="0018748B" w14:paraId="3B6BCF37" w14:textId="77777777" w:rsidTr="00BC1B83">
        <w:trPr>
          <w:trHeight w:val="300"/>
          <w:jc w:val="center"/>
        </w:trPr>
        <w:tc>
          <w:tcPr>
            <w:tcW w:w="17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31B7A12" w14:textId="77777777" w:rsidR="008B01F6" w:rsidRPr="0018748B" w:rsidRDefault="008B01F6" w:rsidP="00BC1B83">
            <w:pPr>
              <w:jc w:val="center"/>
              <w:rPr>
                <w:rFonts w:ascii="Calibri" w:eastAsia="Times New Roman" w:hAnsi="Calibri" w:cs="Calibri"/>
                <w:b/>
                <w:bCs/>
                <w:color w:val="000000"/>
                <w:sz w:val="20"/>
                <w:szCs w:val="20"/>
              </w:rPr>
            </w:pPr>
            <w:r w:rsidRPr="0018748B">
              <w:rPr>
                <w:rFonts w:ascii="Calibri" w:eastAsia="Times New Roman" w:hAnsi="Calibri" w:cs="Calibri"/>
                <w:b/>
                <w:bCs/>
                <w:color w:val="000000"/>
                <w:sz w:val="20"/>
                <w:szCs w:val="20"/>
              </w:rPr>
              <w:t>Variación</w:t>
            </w:r>
          </w:p>
        </w:tc>
        <w:tc>
          <w:tcPr>
            <w:tcW w:w="8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026BD56" w14:textId="77777777" w:rsidR="008B01F6" w:rsidRPr="0018748B" w:rsidRDefault="008B01F6" w:rsidP="00BC1B83">
            <w:pPr>
              <w:jc w:val="center"/>
              <w:rPr>
                <w:rFonts w:ascii="Calibri" w:eastAsia="Times New Roman" w:hAnsi="Calibri" w:cs="Calibri"/>
                <w:b/>
                <w:bCs/>
                <w:color w:val="000000"/>
                <w:sz w:val="20"/>
                <w:szCs w:val="20"/>
              </w:rPr>
            </w:pPr>
            <w:r w:rsidRPr="0018748B">
              <w:rPr>
                <w:rFonts w:ascii="Calibri" w:eastAsia="Times New Roman" w:hAnsi="Calibri" w:cs="Calibri"/>
                <w:b/>
                <w:bCs/>
                <w:color w:val="000000"/>
                <w:sz w:val="20"/>
                <w:szCs w:val="20"/>
              </w:rPr>
              <w:t>28,6%</w:t>
            </w:r>
          </w:p>
        </w:tc>
        <w:tc>
          <w:tcPr>
            <w:tcW w:w="153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93A59F2" w14:textId="77777777" w:rsidR="008B01F6" w:rsidRPr="0018748B" w:rsidRDefault="008B01F6" w:rsidP="00BC1B83">
            <w:pPr>
              <w:jc w:val="center"/>
              <w:rPr>
                <w:rFonts w:ascii="Calibri" w:eastAsia="Times New Roman" w:hAnsi="Calibri" w:cs="Calibri"/>
                <w:b/>
                <w:bCs/>
                <w:color w:val="000000"/>
                <w:sz w:val="20"/>
                <w:szCs w:val="20"/>
              </w:rPr>
            </w:pPr>
            <w:r w:rsidRPr="0018748B">
              <w:rPr>
                <w:rFonts w:ascii="Calibri" w:eastAsia="Times New Roman" w:hAnsi="Calibri" w:cs="Calibri"/>
                <w:b/>
                <w:bCs/>
                <w:color w:val="000000"/>
                <w:sz w:val="20"/>
                <w:szCs w:val="20"/>
              </w:rPr>
              <w:t>4.921.576</w:t>
            </w:r>
          </w:p>
        </w:tc>
        <w:tc>
          <w:tcPr>
            <w:tcW w:w="92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E995A41" w14:textId="77777777" w:rsidR="008B01F6" w:rsidRPr="0018748B" w:rsidRDefault="008B01F6" w:rsidP="00BC1B83">
            <w:pPr>
              <w:jc w:val="center"/>
              <w:rPr>
                <w:rFonts w:ascii="Calibri" w:eastAsia="Times New Roman" w:hAnsi="Calibri" w:cs="Calibri"/>
                <w:b/>
                <w:bCs/>
                <w:color w:val="000000"/>
                <w:sz w:val="20"/>
                <w:szCs w:val="20"/>
              </w:rPr>
            </w:pPr>
            <w:r w:rsidRPr="0018748B">
              <w:rPr>
                <w:rFonts w:ascii="Calibri" w:eastAsia="Times New Roman" w:hAnsi="Calibri" w:cs="Calibri"/>
                <w:b/>
                <w:bCs/>
                <w:color w:val="000000"/>
                <w:sz w:val="20"/>
                <w:szCs w:val="20"/>
              </w:rPr>
              <w:t>49,4%</w:t>
            </w:r>
          </w:p>
        </w:tc>
        <w:tc>
          <w:tcPr>
            <w:tcW w:w="147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C283212" w14:textId="77777777" w:rsidR="008B01F6" w:rsidRPr="0018748B" w:rsidRDefault="008B01F6" w:rsidP="00BC1B83">
            <w:pPr>
              <w:jc w:val="center"/>
              <w:rPr>
                <w:rFonts w:ascii="Calibri" w:eastAsia="Times New Roman" w:hAnsi="Calibri" w:cs="Calibri"/>
                <w:b/>
                <w:bCs/>
                <w:color w:val="000000"/>
                <w:sz w:val="20"/>
                <w:szCs w:val="20"/>
              </w:rPr>
            </w:pPr>
            <w:r w:rsidRPr="0018748B">
              <w:rPr>
                <w:rFonts w:ascii="Calibri" w:eastAsia="Times New Roman" w:hAnsi="Calibri" w:cs="Calibri"/>
                <w:b/>
                <w:bCs/>
                <w:color w:val="000000"/>
                <w:sz w:val="20"/>
                <w:szCs w:val="20"/>
              </w:rPr>
              <w:t>1.904.594</w:t>
            </w:r>
          </w:p>
        </w:tc>
        <w:tc>
          <w:tcPr>
            <w:tcW w:w="12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D15E12A" w14:textId="77777777" w:rsidR="008B01F6" w:rsidRPr="0018748B" w:rsidRDefault="008B01F6" w:rsidP="00BC1B83">
            <w:pPr>
              <w:jc w:val="center"/>
              <w:rPr>
                <w:rFonts w:ascii="Calibri" w:eastAsia="Times New Roman" w:hAnsi="Calibri" w:cs="Calibri"/>
                <w:b/>
                <w:bCs/>
                <w:color w:val="000000"/>
                <w:sz w:val="20"/>
                <w:szCs w:val="20"/>
              </w:rPr>
            </w:pPr>
            <w:r w:rsidRPr="0018748B">
              <w:rPr>
                <w:rFonts w:ascii="Calibri" w:eastAsia="Times New Roman" w:hAnsi="Calibri" w:cs="Calibri"/>
                <w:b/>
                <w:bCs/>
                <w:color w:val="000000"/>
                <w:sz w:val="20"/>
                <w:szCs w:val="20"/>
              </w:rPr>
              <w:t>438.051</w:t>
            </w:r>
          </w:p>
        </w:tc>
      </w:tr>
      <w:tr w:rsidR="008B01F6" w:rsidRPr="0018748B" w14:paraId="2EA137D6" w14:textId="77777777" w:rsidTr="00BC1B83">
        <w:trPr>
          <w:trHeight w:val="300"/>
          <w:jc w:val="center"/>
        </w:trPr>
        <w:tc>
          <w:tcPr>
            <w:tcW w:w="1740" w:type="dxa"/>
            <w:vMerge/>
            <w:tcBorders>
              <w:top w:val="nil"/>
              <w:left w:val="single" w:sz="4" w:space="0" w:color="auto"/>
              <w:bottom w:val="single" w:sz="4" w:space="0" w:color="000000"/>
              <w:right w:val="single" w:sz="4" w:space="0" w:color="auto"/>
            </w:tcBorders>
            <w:vAlign w:val="center"/>
            <w:hideMark/>
          </w:tcPr>
          <w:p w14:paraId="31F94B58" w14:textId="77777777" w:rsidR="008B01F6" w:rsidRPr="0018748B" w:rsidRDefault="008B01F6" w:rsidP="00BC1B83">
            <w:pPr>
              <w:rPr>
                <w:rFonts w:ascii="Calibri" w:eastAsia="Times New Roman" w:hAnsi="Calibri" w:cs="Calibri"/>
                <w:b/>
                <w:b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3CC4B0E" w14:textId="77777777" w:rsidR="008B01F6" w:rsidRPr="0018748B" w:rsidRDefault="008B01F6" w:rsidP="00BC1B83">
            <w:pPr>
              <w:rPr>
                <w:rFonts w:ascii="Calibri" w:eastAsia="Times New Roman" w:hAnsi="Calibri" w:cs="Calibri"/>
                <w:b/>
                <w:bCs/>
                <w:color w:val="000000"/>
                <w:sz w:val="20"/>
                <w:szCs w:val="20"/>
              </w:rPr>
            </w:pPr>
          </w:p>
        </w:tc>
        <w:tc>
          <w:tcPr>
            <w:tcW w:w="1534" w:type="dxa"/>
            <w:vMerge/>
            <w:tcBorders>
              <w:top w:val="nil"/>
              <w:left w:val="single" w:sz="4" w:space="0" w:color="auto"/>
              <w:bottom w:val="single" w:sz="4" w:space="0" w:color="auto"/>
              <w:right w:val="single" w:sz="4" w:space="0" w:color="auto"/>
            </w:tcBorders>
            <w:vAlign w:val="center"/>
            <w:hideMark/>
          </w:tcPr>
          <w:p w14:paraId="0F683AFF" w14:textId="77777777" w:rsidR="008B01F6" w:rsidRPr="0018748B" w:rsidRDefault="008B01F6" w:rsidP="00BC1B83">
            <w:pPr>
              <w:rPr>
                <w:rFonts w:ascii="Calibri" w:eastAsia="Times New Roman" w:hAnsi="Calibri" w:cs="Calibri"/>
                <w:b/>
                <w:bCs/>
                <w:color w:val="000000"/>
                <w:sz w:val="20"/>
                <w:szCs w:val="20"/>
              </w:rPr>
            </w:pPr>
          </w:p>
        </w:tc>
        <w:tc>
          <w:tcPr>
            <w:tcW w:w="926" w:type="dxa"/>
            <w:vMerge/>
            <w:tcBorders>
              <w:top w:val="nil"/>
              <w:left w:val="single" w:sz="4" w:space="0" w:color="auto"/>
              <w:bottom w:val="single" w:sz="4" w:space="0" w:color="auto"/>
              <w:right w:val="single" w:sz="4" w:space="0" w:color="auto"/>
            </w:tcBorders>
            <w:vAlign w:val="center"/>
            <w:hideMark/>
          </w:tcPr>
          <w:p w14:paraId="2CABF31F" w14:textId="77777777" w:rsidR="008B01F6" w:rsidRPr="0018748B" w:rsidRDefault="008B01F6" w:rsidP="00BC1B83">
            <w:pPr>
              <w:rPr>
                <w:rFonts w:ascii="Calibri" w:eastAsia="Times New Roman" w:hAnsi="Calibri" w:cs="Calibri"/>
                <w:b/>
                <w:bCs/>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14:paraId="5B9AC5BA" w14:textId="77777777" w:rsidR="008B01F6" w:rsidRPr="0018748B" w:rsidRDefault="008B01F6" w:rsidP="00BC1B83">
            <w:pPr>
              <w:rPr>
                <w:rFonts w:ascii="Calibri" w:eastAsia="Times New Roman" w:hAnsi="Calibri" w:cs="Calibri"/>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BA045C3" w14:textId="77777777" w:rsidR="008B01F6" w:rsidRPr="0018748B" w:rsidRDefault="008B01F6" w:rsidP="00BC1B83">
            <w:pPr>
              <w:rPr>
                <w:rFonts w:ascii="Calibri" w:eastAsia="Times New Roman" w:hAnsi="Calibri" w:cs="Calibri"/>
                <w:b/>
                <w:bCs/>
                <w:color w:val="000000"/>
                <w:sz w:val="20"/>
                <w:szCs w:val="20"/>
              </w:rPr>
            </w:pPr>
          </w:p>
        </w:tc>
      </w:tr>
    </w:tbl>
    <w:p w14:paraId="32AF3674" w14:textId="77777777" w:rsidR="00546F3F" w:rsidRPr="006D0CC3" w:rsidRDefault="00546F3F" w:rsidP="00546F3F">
      <w:pPr>
        <w:spacing w:before="240" w:after="240"/>
        <w:jc w:val="center"/>
        <w:rPr>
          <w:sz w:val="20"/>
          <w:szCs w:val="20"/>
        </w:rPr>
      </w:pPr>
      <w:r w:rsidRPr="006D0CC3">
        <w:rPr>
          <w:sz w:val="20"/>
          <w:szCs w:val="20"/>
        </w:rPr>
        <w:t>Fuente: Elaboración propia en base a EPH – INDEC.</w:t>
      </w:r>
    </w:p>
    <w:p w14:paraId="027E63DB" w14:textId="63FDB079" w:rsidR="005D56DD" w:rsidRDefault="005D56DD">
      <w:pPr>
        <w:spacing w:before="240" w:after="240"/>
        <w:jc w:val="both"/>
      </w:pPr>
    </w:p>
    <w:p w14:paraId="45C98660" w14:textId="77777777" w:rsidR="005D56DD" w:rsidRDefault="00BC1B83">
      <w:pPr>
        <w:spacing w:before="240" w:after="240"/>
        <w:ind w:firstLine="700"/>
        <w:jc w:val="both"/>
      </w:pPr>
      <w:r>
        <w:t>Pero si analizamos en detalle lo anterior se verifica que el comportamiento anual es, en realidad, el resultado de lo acontecido exclusivamente por el efecto de la pandemia. Así, si se compara el 4to trimestre 2019 con la situación actual del 2do trimestre de 2020 se observa que la pandemia arrojó a 4,1 millones de personas a la pobreza y 1,7 millones a la indigencia.</w:t>
      </w:r>
    </w:p>
    <w:p w14:paraId="1A07778D" w14:textId="29608760" w:rsidR="008B01F6" w:rsidRDefault="008B01F6" w:rsidP="008B01F6">
      <w:pPr>
        <w:jc w:val="both"/>
        <w:rPr>
          <w:lang w:val="es-ES"/>
        </w:rPr>
      </w:pPr>
      <w:r>
        <w:rPr>
          <w:lang w:val="es-ES"/>
        </w:rPr>
        <w:t>Cuadro 3: Evolución semestral de la pobreza e indigencia. 2do trimestre 2020 vs 4to trimestre 2019.</w:t>
      </w:r>
    </w:p>
    <w:tbl>
      <w:tblPr>
        <w:tblW w:w="8600" w:type="dxa"/>
        <w:jc w:val="center"/>
        <w:tblCellMar>
          <w:left w:w="70" w:type="dxa"/>
          <w:right w:w="70" w:type="dxa"/>
        </w:tblCellMar>
        <w:tblLook w:val="04A0" w:firstRow="1" w:lastRow="0" w:firstColumn="1" w:lastColumn="0" w:noHBand="0" w:noVBand="1"/>
      </w:tblPr>
      <w:tblGrid>
        <w:gridCol w:w="2000"/>
        <w:gridCol w:w="953"/>
        <w:gridCol w:w="1687"/>
        <w:gridCol w:w="1018"/>
        <w:gridCol w:w="1622"/>
        <w:gridCol w:w="1320"/>
      </w:tblGrid>
      <w:tr w:rsidR="008B01F6" w:rsidRPr="00091484" w14:paraId="504D51F3" w14:textId="77777777" w:rsidTr="00BC1B83">
        <w:trPr>
          <w:trHeight w:val="300"/>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B8217A4" w14:textId="77777777" w:rsidR="008B01F6" w:rsidRPr="00091484" w:rsidRDefault="008B01F6" w:rsidP="00BC1B83">
            <w:pPr>
              <w:jc w:val="center"/>
              <w:rPr>
                <w:rFonts w:ascii="Calibri" w:eastAsia="Times New Roman" w:hAnsi="Calibri" w:cs="Calibri"/>
                <w:b/>
                <w:bCs/>
                <w:color w:val="FFFFFF"/>
                <w:sz w:val="20"/>
                <w:szCs w:val="20"/>
              </w:rPr>
            </w:pPr>
            <w:r w:rsidRPr="00091484">
              <w:rPr>
                <w:rFonts w:ascii="Calibri" w:eastAsia="Times New Roman" w:hAnsi="Calibri" w:cs="Calibri"/>
                <w:b/>
                <w:bCs/>
                <w:color w:val="FFFFFF"/>
                <w:sz w:val="20"/>
                <w:szCs w:val="20"/>
              </w:rPr>
              <w:t> </w:t>
            </w:r>
          </w:p>
        </w:tc>
        <w:tc>
          <w:tcPr>
            <w:tcW w:w="2640" w:type="dxa"/>
            <w:gridSpan w:val="2"/>
            <w:tcBorders>
              <w:top w:val="single" w:sz="4" w:space="0" w:color="auto"/>
              <w:left w:val="nil"/>
              <w:bottom w:val="single" w:sz="4" w:space="0" w:color="auto"/>
              <w:right w:val="single" w:sz="4" w:space="0" w:color="auto"/>
            </w:tcBorders>
            <w:shd w:val="clear" w:color="000000" w:fill="0070C0"/>
            <w:noWrap/>
            <w:vAlign w:val="bottom"/>
            <w:hideMark/>
          </w:tcPr>
          <w:p w14:paraId="38D1C9FE" w14:textId="77777777" w:rsidR="008B01F6" w:rsidRPr="00091484" w:rsidRDefault="008B01F6" w:rsidP="00BC1B83">
            <w:pPr>
              <w:jc w:val="center"/>
              <w:rPr>
                <w:rFonts w:ascii="Calibri" w:eastAsia="Times New Roman" w:hAnsi="Calibri" w:cs="Calibri"/>
                <w:b/>
                <w:bCs/>
                <w:color w:val="FFFFFF"/>
                <w:sz w:val="20"/>
                <w:szCs w:val="20"/>
              </w:rPr>
            </w:pPr>
            <w:r w:rsidRPr="00091484">
              <w:rPr>
                <w:rFonts w:ascii="Calibri" w:eastAsia="Times New Roman" w:hAnsi="Calibri" w:cs="Calibri"/>
                <w:b/>
                <w:bCs/>
                <w:color w:val="FFFFFF"/>
                <w:sz w:val="20"/>
                <w:szCs w:val="20"/>
              </w:rPr>
              <w:t>Pobreza</w:t>
            </w:r>
          </w:p>
        </w:tc>
        <w:tc>
          <w:tcPr>
            <w:tcW w:w="2640" w:type="dxa"/>
            <w:gridSpan w:val="2"/>
            <w:tcBorders>
              <w:top w:val="single" w:sz="4" w:space="0" w:color="auto"/>
              <w:left w:val="nil"/>
              <w:bottom w:val="single" w:sz="4" w:space="0" w:color="auto"/>
              <w:right w:val="single" w:sz="4" w:space="0" w:color="auto"/>
            </w:tcBorders>
            <w:shd w:val="clear" w:color="000000" w:fill="0070C0"/>
            <w:noWrap/>
            <w:vAlign w:val="bottom"/>
            <w:hideMark/>
          </w:tcPr>
          <w:p w14:paraId="633EDFD3" w14:textId="77777777" w:rsidR="008B01F6" w:rsidRPr="00091484" w:rsidRDefault="008B01F6" w:rsidP="00BC1B83">
            <w:pPr>
              <w:jc w:val="center"/>
              <w:rPr>
                <w:rFonts w:ascii="Calibri" w:eastAsia="Times New Roman" w:hAnsi="Calibri" w:cs="Calibri"/>
                <w:b/>
                <w:bCs/>
                <w:color w:val="FFFFFF"/>
                <w:sz w:val="20"/>
                <w:szCs w:val="20"/>
              </w:rPr>
            </w:pPr>
            <w:r w:rsidRPr="00091484">
              <w:rPr>
                <w:rFonts w:ascii="Calibri" w:eastAsia="Times New Roman" w:hAnsi="Calibri" w:cs="Calibri"/>
                <w:b/>
                <w:bCs/>
                <w:color w:val="FFFFFF"/>
                <w:sz w:val="20"/>
                <w:szCs w:val="20"/>
              </w:rPr>
              <w:t>Indigencia</w:t>
            </w:r>
          </w:p>
        </w:tc>
        <w:tc>
          <w:tcPr>
            <w:tcW w:w="1320" w:type="dxa"/>
            <w:tcBorders>
              <w:top w:val="single" w:sz="4" w:space="0" w:color="auto"/>
              <w:left w:val="nil"/>
              <w:bottom w:val="single" w:sz="4" w:space="0" w:color="auto"/>
              <w:right w:val="single" w:sz="4" w:space="0" w:color="auto"/>
            </w:tcBorders>
            <w:shd w:val="clear" w:color="000000" w:fill="0070C0"/>
            <w:vAlign w:val="bottom"/>
            <w:hideMark/>
          </w:tcPr>
          <w:p w14:paraId="7E1D9796" w14:textId="77777777" w:rsidR="008B01F6" w:rsidRPr="00091484" w:rsidRDefault="008B01F6" w:rsidP="00BC1B83">
            <w:pPr>
              <w:jc w:val="center"/>
              <w:rPr>
                <w:rFonts w:ascii="Calibri" w:eastAsia="Times New Roman" w:hAnsi="Calibri" w:cs="Calibri"/>
                <w:b/>
                <w:bCs/>
                <w:color w:val="FFFFFF"/>
                <w:sz w:val="20"/>
                <w:szCs w:val="20"/>
              </w:rPr>
            </w:pPr>
            <w:r w:rsidRPr="00091484">
              <w:rPr>
                <w:rFonts w:ascii="Calibri" w:eastAsia="Times New Roman" w:hAnsi="Calibri" w:cs="Calibri"/>
                <w:b/>
                <w:bCs/>
                <w:color w:val="FFFFFF"/>
                <w:sz w:val="20"/>
                <w:szCs w:val="20"/>
              </w:rPr>
              <w:t>Población</w:t>
            </w:r>
          </w:p>
        </w:tc>
      </w:tr>
      <w:tr w:rsidR="008B01F6" w:rsidRPr="00091484" w14:paraId="7ABF1D01" w14:textId="77777777" w:rsidTr="00BC1B83">
        <w:trPr>
          <w:trHeight w:val="300"/>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14:paraId="414DA5E1" w14:textId="77777777" w:rsidR="008B01F6" w:rsidRPr="00091484" w:rsidRDefault="008B01F6" w:rsidP="00BC1B83">
            <w:pPr>
              <w:rPr>
                <w:rFonts w:ascii="Calibri" w:eastAsia="Times New Roman" w:hAnsi="Calibri" w:cs="Calibri"/>
                <w:b/>
                <w:bCs/>
                <w:color w:val="FFFFFF"/>
                <w:sz w:val="20"/>
                <w:szCs w:val="20"/>
              </w:rPr>
            </w:pPr>
          </w:p>
        </w:tc>
        <w:tc>
          <w:tcPr>
            <w:tcW w:w="953" w:type="dxa"/>
            <w:tcBorders>
              <w:top w:val="nil"/>
              <w:left w:val="nil"/>
              <w:bottom w:val="single" w:sz="4" w:space="0" w:color="auto"/>
              <w:right w:val="single" w:sz="4" w:space="0" w:color="auto"/>
            </w:tcBorders>
            <w:shd w:val="clear" w:color="000000" w:fill="0070C0"/>
            <w:noWrap/>
            <w:vAlign w:val="bottom"/>
            <w:hideMark/>
          </w:tcPr>
          <w:p w14:paraId="5AE170F8" w14:textId="77777777" w:rsidR="008B01F6" w:rsidRPr="00091484" w:rsidRDefault="008B01F6" w:rsidP="00BC1B83">
            <w:pPr>
              <w:jc w:val="center"/>
              <w:rPr>
                <w:rFonts w:ascii="Calibri" w:eastAsia="Times New Roman" w:hAnsi="Calibri" w:cs="Calibri"/>
                <w:b/>
                <w:bCs/>
                <w:color w:val="FFFFFF"/>
                <w:sz w:val="20"/>
                <w:szCs w:val="20"/>
              </w:rPr>
            </w:pPr>
            <w:r w:rsidRPr="00091484">
              <w:rPr>
                <w:rFonts w:ascii="Calibri" w:eastAsia="Times New Roman" w:hAnsi="Calibri" w:cs="Calibri"/>
                <w:b/>
                <w:bCs/>
                <w:color w:val="FFFFFF"/>
                <w:sz w:val="20"/>
                <w:szCs w:val="20"/>
              </w:rPr>
              <w:t>%</w:t>
            </w:r>
          </w:p>
        </w:tc>
        <w:tc>
          <w:tcPr>
            <w:tcW w:w="1687" w:type="dxa"/>
            <w:tcBorders>
              <w:top w:val="nil"/>
              <w:left w:val="nil"/>
              <w:bottom w:val="single" w:sz="4" w:space="0" w:color="auto"/>
              <w:right w:val="single" w:sz="4" w:space="0" w:color="auto"/>
            </w:tcBorders>
            <w:shd w:val="clear" w:color="000000" w:fill="0070C0"/>
            <w:noWrap/>
            <w:vAlign w:val="bottom"/>
            <w:hideMark/>
          </w:tcPr>
          <w:p w14:paraId="15B7B7D5" w14:textId="77777777" w:rsidR="008B01F6" w:rsidRPr="00091484" w:rsidRDefault="008B01F6" w:rsidP="00BC1B83">
            <w:pPr>
              <w:jc w:val="center"/>
              <w:rPr>
                <w:rFonts w:ascii="Calibri" w:eastAsia="Times New Roman" w:hAnsi="Calibri" w:cs="Calibri"/>
                <w:b/>
                <w:bCs/>
                <w:color w:val="FFFFFF"/>
                <w:sz w:val="20"/>
                <w:szCs w:val="20"/>
              </w:rPr>
            </w:pPr>
            <w:r w:rsidRPr="00091484">
              <w:rPr>
                <w:rFonts w:ascii="Calibri" w:eastAsia="Times New Roman" w:hAnsi="Calibri" w:cs="Calibri"/>
                <w:b/>
                <w:bCs/>
                <w:color w:val="FFFFFF"/>
                <w:sz w:val="20"/>
                <w:szCs w:val="20"/>
              </w:rPr>
              <w:t>Población</w:t>
            </w:r>
          </w:p>
        </w:tc>
        <w:tc>
          <w:tcPr>
            <w:tcW w:w="1018" w:type="dxa"/>
            <w:tcBorders>
              <w:top w:val="nil"/>
              <w:left w:val="nil"/>
              <w:bottom w:val="single" w:sz="4" w:space="0" w:color="auto"/>
              <w:right w:val="single" w:sz="4" w:space="0" w:color="auto"/>
            </w:tcBorders>
            <w:shd w:val="clear" w:color="000000" w:fill="0070C0"/>
            <w:noWrap/>
            <w:vAlign w:val="bottom"/>
            <w:hideMark/>
          </w:tcPr>
          <w:p w14:paraId="441422C5" w14:textId="77777777" w:rsidR="008B01F6" w:rsidRPr="00091484" w:rsidRDefault="008B01F6" w:rsidP="00BC1B83">
            <w:pPr>
              <w:jc w:val="center"/>
              <w:rPr>
                <w:rFonts w:ascii="Calibri" w:eastAsia="Times New Roman" w:hAnsi="Calibri" w:cs="Calibri"/>
                <w:b/>
                <w:bCs/>
                <w:color w:val="FFFFFF"/>
                <w:sz w:val="20"/>
                <w:szCs w:val="20"/>
              </w:rPr>
            </w:pPr>
            <w:r w:rsidRPr="00091484">
              <w:rPr>
                <w:rFonts w:ascii="Calibri" w:eastAsia="Times New Roman" w:hAnsi="Calibri" w:cs="Calibri"/>
                <w:b/>
                <w:bCs/>
                <w:color w:val="FFFFFF"/>
                <w:sz w:val="20"/>
                <w:szCs w:val="20"/>
              </w:rPr>
              <w:t xml:space="preserve">% </w:t>
            </w:r>
          </w:p>
        </w:tc>
        <w:tc>
          <w:tcPr>
            <w:tcW w:w="1622" w:type="dxa"/>
            <w:tcBorders>
              <w:top w:val="nil"/>
              <w:left w:val="nil"/>
              <w:bottom w:val="single" w:sz="4" w:space="0" w:color="auto"/>
              <w:right w:val="single" w:sz="4" w:space="0" w:color="auto"/>
            </w:tcBorders>
            <w:shd w:val="clear" w:color="000000" w:fill="0070C0"/>
            <w:noWrap/>
            <w:vAlign w:val="bottom"/>
            <w:hideMark/>
          </w:tcPr>
          <w:p w14:paraId="5386C8D7" w14:textId="77777777" w:rsidR="008B01F6" w:rsidRPr="00091484" w:rsidRDefault="008B01F6" w:rsidP="00BC1B83">
            <w:pPr>
              <w:jc w:val="center"/>
              <w:rPr>
                <w:rFonts w:ascii="Calibri" w:eastAsia="Times New Roman" w:hAnsi="Calibri" w:cs="Calibri"/>
                <w:b/>
                <w:bCs/>
                <w:color w:val="FFFFFF"/>
                <w:sz w:val="20"/>
                <w:szCs w:val="20"/>
              </w:rPr>
            </w:pPr>
            <w:r w:rsidRPr="00091484">
              <w:rPr>
                <w:rFonts w:ascii="Calibri" w:eastAsia="Times New Roman" w:hAnsi="Calibri" w:cs="Calibri"/>
                <w:b/>
                <w:bCs/>
                <w:color w:val="FFFFFF"/>
                <w:sz w:val="20"/>
                <w:szCs w:val="20"/>
              </w:rPr>
              <w:t>Población</w:t>
            </w:r>
          </w:p>
        </w:tc>
        <w:tc>
          <w:tcPr>
            <w:tcW w:w="1320" w:type="dxa"/>
            <w:tcBorders>
              <w:top w:val="nil"/>
              <w:left w:val="nil"/>
              <w:bottom w:val="single" w:sz="4" w:space="0" w:color="auto"/>
              <w:right w:val="single" w:sz="4" w:space="0" w:color="auto"/>
            </w:tcBorders>
            <w:shd w:val="clear" w:color="000000" w:fill="0070C0"/>
            <w:vAlign w:val="bottom"/>
            <w:hideMark/>
          </w:tcPr>
          <w:p w14:paraId="74D3C1CF" w14:textId="77777777" w:rsidR="008B01F6" w:rsidRPr="00091484" w:rsidRDefault="008B01F6" w:rsidP="00BC1B83">
            <w:pPr>
              <w:jc w:val="center"/>
              <w:rPr>
                <w:rFonts w:ascii="Calibri" w:eastAsia="Times New Roman" w:hAnsi="Calibri" w:cs="Calibri"/>
                <w:b/>
                <w:bCs/>
                <w:color w:val="FFFFFF"/>
                <w:sz w:val="20"/>
                <w:szCs w:val="20"/>
              </w:rPr>
            </w:pPr>
            <w:r w:rsidRPr="00091484">
              <w:rPr>
                <w:rFonts w:ascii="Calibri" w:eastAsia="Times New Roman" w:hAnsi="Calibri" w:cs="Calibri"/>
                <w:b/>
                <w:bCs/>
                <w:color w:val="FFFFFF"/>
                <w:sz w:val="20"/>
                <w:szCs w:val="20"/>
              </w:rPr>
              <w:t>Total</w:t>
            </w:r>
          </w:p>
        </w:tc>
      </w:tr>
      <w:tr w:rsidR="008B01F6" w:rsidRPr="00091484" w14:paraId="476C8999" w14:textId="77777777" w:rsidTr="00BC1B83">
        <w:trPr>
          <w:trHeight w:val="300"/>
          <w:jc w:val="center"/>
        </w:trPr>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14:paraId="10C8A47B"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4º Trimestre 2019</w:t>
            </w:r>
          </w:p>
        </w:tc>
        <w:tc>
          <w:tcPr>
            <w:tcW w:w="953" w:type="dxa"/>
            <w:tcBorders>
              <w:top w:val="nil"/>
              <w:left w:val="nil"/>
              <w:bottom w:val="single" w:sz="4" w:space="0" w:color="auto"/>
              <w:right w:val="single" w:sz="4" w:space="0" w:color="auto"/>
            </w:tcBorders>
            <w:shd w:val="clear" w:color="auto" w:fill="auto"/>
            <w:noWrap/>
            <w:vAlign w:val="bottom"/>
            <w:hideMark/>
          </w:tcPr>
          <w:p w14:paraId="7C5AB28F"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38,3%</w:t>
            </w:r>
          </w:p>
        </w:tc>
        <w:tc>
          <w:tcPr>
            <w:tcW w:w="1687" w:type="dxa"/>
            <w:tcBorders>
              <w:top w:val="nil"/>
              <w:left w:val="nil"/>
              <w:bottom w:val="single" w:sz="4" w:space="0" w:color="auto"/>
              <w:right w:val="single" w:sz="4" w:space="0" w:color="auto"/>
            </w:tcBorders>
            <w:shd w:val="clear" w:color="auto" w:fill="auto"/>
            <w:noWrap/>
            <w:vAlign w:val="bottom"/>
            <w:hideMark/>
          </w:tcPr>
          <w:p w14:paraId="3E811AC6"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17.291.086</w:t>
            </w:r>
          </w:p>
        </w:tc>
        <w:tc>
          <w:tcPr>
            <w:tcW w:w="1018" w:type="dxa"/>
            <w:tcBorders>
              <w:top w:val="nil"/>
              <w:left w:val="nil"/>
              <w:bottom w:val="single" w:sz="4" w:space="0" w:color="auto"/>
              <w:right w:val="single" w:sz="4" w:space="0" w:color="auto"/>
            </w:tcBorders>
            <w:shd w:val="clear" w:color="auto" w:fill="auto"/>
            <w:noWrap/>
            <w:vAlign w:val="bottom"/>
            <w:hideMark/>
          </w:tcPr>
          <w:p w14:paraId="79ECFD76"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8,6%</w:t>
            </w:r>
          </w:p>
        </w:tc>
        <w:tc>
          <w:tcPr>
            <w:tcW w:w="1622" w:type="dxa"/>
            <w:tcBorders>
              <w:top w:val="nil"/>
              <w:left w:val="nil"/>
              <w:bottom w:val="single" w:sz="4" w:space="0" w:color="auto"/>
              <w:right w:val="single" w:sz="4" w:space="0" w:color="auto"/>
            </w:tcBorders>
            <w:shd w:val="clear" w:color="auto" w:fill="auto"/>
            <w:noWrap/>
            <w:vAlign w:val="bottom"/>
            <w:hideMark/>
          </w:tcPr>
          <w:p w14:paraId="13C4886A"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3.892.090</w:t>
            </w:r>
          </w:p>
        </w:tc>
        <w:tc>
          <w:tcPr>
            <w:tcW w:w="1320" w:type="dxa"/>
            <w:tcBorders>
              <w:top w:val="nil"/>
              <w:left w:val="nil"/>
              <w:bottom w:val="single" w:sz="4" w:space="0" w:color="auto"/>
              <w:right w:val="single" w:sz="4" w:space="0" w:color="auto"/>
            </w:tcBorders>
            <w:shd w:val="clear" w:color="auto" w:fill="auto"/>
            <w:noWrap/>
            <w:vAlign w:val="bottom"/>
            <w:hideMark/>
          </w:tcPr>
          <w:p w14:paraId="75B1F763"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45.157.738</w:t>
            </w:r>
          </w:p>
        </w:tc>
      </w:tr>
      <w:tr w:rsidR="008B01F6" w:rsidRPr="00091484" w14:paraId="081EA203" w14:textId="77777777" w:rsidTr="00BC1B83">
        <w:trPr>
          <w:trHeight w:val="300"/>
          <w:jc w:val="center"/>
        </w:trPr>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14:paraId="29E79D82"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2º Trimestre 2020</w:t>
            </w:r>
          </w:p>
        </w:tc>
        <w:tc>
          <w:tcPr>
            <w:tcW w:w="953" w:type="dxa"/>
            <w:tcBorders>
              <w:top w:val="nil"/>
              <w:left w:val="nil"/>
              <w:bottom w:val="single" w:sz="4" w:space="0" w:color="auto"/>
              <w:right w:val="single" w:sz="4" w:space="0" w:color="auto"/>
            </w:tcBorders>
            <w:shd w:val="clear" w:color="auto" w:fill="auto"/>
            <w:noWrap/>
            <w:vAlign w:val="bottom"/>
            <w:hideMark/>
          </w:tcPr>
          <w:p w14:paraId="35923F6C"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47,2%</w:t>
            </w:r>
          </w:p>
        </w:tc>
        <w:tc>
          <w:tcPr>
            <w:tcW w:w="1687" w:type="dxa"/>
            <w:tcBorders>
              <w:top w:val="nil"/>
              <w:left w:val="nil"/>
              <w:bottom w:val="single" w:sz="4" w:space="0" w:color="auto"/>
              <w:right w:val="single" w:sz="4" w:space="0" w:color="auto"/>
            </w:tcBorders>
            <w:shd w:val="clear" w:color="auto" w:fill="auto"/>
            <w:noWrap/>
            <w:vAlign w:val="bottom"/>
            <w:hideMark/>
          </w:tcPr>
          <w:p w14:paraId="4697D8BE"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21.417.832</w:t>
            </w:r>
          </w:p>
        </w:tc>
        <w:tc>
          <w:tcPr>
            <w:tcW w:w="1018" w:type="dxa"/>
            <w:tcBorders>
              <w:top w:val="nil"/>
              <w:left w:val="nil"/>
              <w:bottom w:val="single" w:sz="4" w:space="0" w:color="auto"/>
              <w:right w:val="single" w:sz="4" w:space="0" w:color="auto"/>
            </w:tcBorders>
            <w:shd w:val="clear" w:color="auto" w:fill="auto"/>
            <w:noWrap/>
            <w:vAlign w:val="bottom"/>
            <w:hideMark/>
          </w:tcPr>
          <w:p w14:paraId="4A62C7F1"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12,4%</w:t>
            </w:r>
          </w:p>
        </w:tc>
        <w:tc>
          <w:tcPr>
            <w:tcW w:w="1622" w:type="dxa"/>
            <w:tcBorders>
              <w:top w:val="nil"/>
              <w:left w:val="nil"/>
              <w:bottom w:val="single" w:sz="4" w:space="0" w:color="auto"/>
              <w:right w:val="single" w:sz="4" w:space="0" w:color="auto"/>
            </w:tcBorders>
            <w:shd w:val="clear" w:color="auto" w:fill="auto"/>
            <w:noWrap/>
            <w:vAlign w:val="bottom"/>
            <w:hideMark/>
          </w:tcPr>
          <w:p w14:paraId="4A9D3700"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5.626.719</w:t>
            </w:r>
          </w:p>
        </w:tc>
        <w:tc>
          <w:tcPr>
            <w:tcW w:w="1320" w:type="dxa"/>
            <w:tcBorders>
              <w:top w:val="nil"/>
              <w:left w:val="nil"/>
              <w:bottom w:val="single" w:sz="4" w:space="0" w:color="auto"/>
              <w:right w:val="single" w:sz="4" w:space="0" w:color="auto"/>
            </w:tcBorders>
            <w:shd w:val="clear" w:color="auto" w:fill="auto"/>
            <w:noWrap/>
            <w:vAlign w:val="bottom"/>
            <w:hideMark/>
          </w:tcPr>
          <w:p w14:paraId="0C53DBA9" w14:textId="77777777" w:rsidR="008B01F6" w:rsidRPr="00091484" w:rsidRDefault="008B01F6" w:rsidP="00BC1B83">
            <w:pPr>
              <w:jc w:val="center"/>
              <w:rPr>
                <w:rFonts w:ascii="Calibri" w:eastAsia="Times New Roman" w:hAnsi="Calibri" w:cs="Calibri"/>
                <w:color w:val="000000"/>
                <w:sz w:val="20"/>
                <w:szCs w:val="20"/>
              </w:rPr>
            </w:pPr>
            <w:r w:rsidRPr="00091484">
              <w:rPr>
                <w:rFonts w:ascii="Calibri" w:eastAsia="Times New Roman" w:hAnsi="Calibri" w:cs="Calibri"/>
                <w:color w:val="000000"/>
                <w:sz w:val="20"/>
                <w:szCs w:val="20"/>
              </w:rPr>
              <w:t>45.376.763</w:t>
            </w:r>
          </w:p>
        </w:tc>
      </w:tr>
      <w:tr w:rsidR="008B01F6" w:rsidRPr="00091484" w14:paraId="09642123" w14:textId="77777777" w:rsidTr="00BC1B83">
        <w:trPr>
          <w:trHeight w:val="300"/>
          <w:jc w:val="center"/>
        </w:trPr>
        <w:tc>
          <w:tcPr>
            <w:tcW w:w="2000" w:type="dxa"/>
            <w:vMerge w:val="restart"/>
            <w:tcBorders>
              <w:top w:val="nil"/>
              <w:left w:val="single" w:sz="4" w:space="0" w:color="auto"/>
              <w:bottom w:val="single" w:sz="4" w:space="0" w:color="auto"/>
              <w:right w:val="single" w:sz="4" w:space="0" w:color="auto"/>
            </w:tcBorders>
            <w:shd w:val="clear" w:color="000000" w:fill="D9D9D9"/>
            <w:vAlign w:val="bottom"/>
            <w:hideMark/>
          </w:tcPr>
          <w:p w14:paraId="1A3A08BC" w14:textId="77777777" w:rsidR="008B01F6" w:rsidRPr="00091484" w:rsidRDefault="008B01F6" w:rsidP="00BC1B83">
            <w:pPr>
              <w:jc w:val="center"/>
              <w:rPr>
                <w:rFonts w:ascii="Calibri" w:eastAsia="Times New Roman" w:hAnsi="Calibri" w:cs="Calibri"/>
                <w:b/>
                <w:bCs/>
                <w:color w:val="000000"/>
                <w:sz w:val="20"/>
                <w:szCs w:val="20"/>
              </w:rPr>
            </w:pPr>
            <w:r w:rsidRPr="00091484">
              <w:rPr>
                <w:rFonts w:ascii="Calibri" w:eastAsia="Times New Roman" w:hAnsi="Calibri" w:cs="Calibri"/>
                <w:b/>
                <w:bCs/>
                <w:color w:val="000000"/>
                <w:sz w:val="20"/>
                <w:szCs w:val="20"/>
              </w:rPr>
              <w:t>Variación</w:t>
            </w:r>
          </w:p>
        </w:tc>
        <w:tc>
          <w:tcPr>
            <w:tcW w:w="953" w:type="dxa"/>
            <w:vMerge w:val="restart"/>
            <w:tcBorders>
              <w:top w:val="nil"/>
              <w:left w:val="single" w:sz="4" w:space="0" w:color="auto"/>
              <w:bottom w:val="single" w:sz="4" w:space="0" w:color="auto"/>
              <w:right w:val="single" w:sz="4" w:space="0" w:color="auto"/>
            </w:tcBorders>
            <w:shd w:val="clear" w:color="000000" w:fill="D9D9D9"/>
            <w:noWrap/>
            <w:vAlign w:val="bottom"/>
            <w:hideMark/>
          </w:tcPr>
          <w:p w14:paraId="3F6DDE40" w14:textId="77777777" w:rsidR="008B01F6" w:rsidRPr="00091484" w:rsidRDefault="008B01F6" w:rsidP="00BC1B83">
            <w:pPr>
              <w:jc w:val="center"/>
              <w:rPr>
                <w:rFonts w:ascii="Calibri" w:eastAsia="Times New Roman" w:hAnsi="Calibri" w:cs="Calibri"/>
                <w:b/>
                <w:bCs/>
                <w:color w:val="000000"/>
                <w:sz w:val="20"/>
                <w:szCs w:val="20"/>
              </w:rPr>
            </w:pPr>
            <w:r w:rsidRPr="00091484">
              <w:rPr>
                <w:rFonts w:ascii="Calibri" w:eastAsia="Times New Roman" w:hAnsi="Calibri" w:cs="Calibri"/>
                <w:b/>
                <w:bCs/>
                <w:color w:val="000000"/>
                <w:sz w:val="20"/>
                <w:szCs w:val="20"/>
              </w:rPr>
              <w:t>23,3%</w:t>
            </w:r>
          </w:p>
        </w:tc>
        <w:tc>
          <w:tcPr>
            <w:tcW w:w="1687" w:type="dxa"/>
            <w:vMerge w:val="restart"/>
            <w:tcBorders>
              <w:top w:val="nil"/>
              <w:left w:val="single" w:sz="4" w:space="0" w:color="auto"/>
              <w:bottom w:val="single" w:sz="4" w:space="0" w:color="auto"/>
              <w:right w:val="single" w:sz="4" w:space="0" w:color="auto"/>
            </w:tcBorders>
            <w:shd w:val="clear" w:color="000000" w:fill="D9D9D9"/>
            <w:noWrap/>
            <w:vAlign w:val="bottom"/>
            <w:hideMark/>
          </w:tcPr>
          <w:p w14:paraId="74F421CD" w14:textId="77777777" w:rsidR="008B01F6" w:rsidRPr="00091484" w:rsidRDefault="008B01F6" w:rsidP="00BC1B83">
            <w:pPr>
              <w:jc w:val="center"/>
              <w:rPr>
                <w:rFonts w:ascii="Calibri" w:eastAsia="Times New Roman" w:hAnsi="Calibri" w:cs="Calibri"/>
                <w:b/>
                <w:bCs/>
                <w:color w:val="000000"/>
                <w:sz w:val="20"/>
                <w:szCs w:val="20"/>
              </w:rPr>
            </w:pPr>
            <w:r w:rsidRPr="00091484">
              <w:rPr>
                <w:rFonts w:ascii="Calibri" w:eastAsia="Times New Roman" w:hAnsi="Calibri" w:cs="Calibri"/>
                <w:b/>
                <w:bCs/>
                <w:color w:val="000000"/>
                <w:sz w:val="20"/>
                <w:szCs w:val="20"/>
              </w:rPr>
              <w:t>4.126.746</w:t>
            </w:r>
          </w:p>
        </w:tc>
        <w:tc>
          <w:tcPr>
            <w:tcW w:w="1018" w:type="dxa"/>
            <w:vMerge w:val="restart"/>
            <w:tcBorders>
              <w:top w:val="nil"/>
              <w:left w:val="single" w:sz="4" w:space="0" w:color="auto"/>
              <w:bottom w:val="single" w:sz="4" w:space="0" w:color="auto"/>
              <w:right w:val="single" w:sz="4" w:space="0" w:color="auto"/>
            </w:tcBorders>
            <w:shd w:val="clear" w:color="000000" w:fill="D9D9D9"/>
            <w:noWrap/>
            <w:vAlign w:val="bottom"/>
            <w:hideMark/>
          </w:tcPr>
          <w:p w14:paraId="54C1AC88" w14:textId="77777777" w:rsidR="008B01F6" w:rsidRPr="00091484" w:rsidRDefault="008B01F6" w:rsidP="00BC1B83">
            <w:pPr>
              <w:jc w:val="center"/>
              <w:rPr>
                <w:rFonts w:ascii="Calibri" w:eastAsia="Times New Roman" w:hAnsi="Calibri" w:cs="Calibri"/>
                <w:b/>
                <w:bCs/>
                <w:color w:val="000000"/>
                <w:sz w:val="20"/>
                <w:szCs w:val="20"/>
              </w:rPr>
            </w:pPr>
            <w:r w:rsidRPr="00091484">
              <w:rPr>
                <w:rFonts w:ascii="Calibri" w:eastAsia="Times New Roman" w:hAnsi="Calibri" w:cs="Calibri"/>
                <w:b/>
                <w:bCs/>
                <w:color w:val="000000"/>
                <w:sz w:val="20"/>
                <w:szCs w:val="20"/>
              </w:rPr>
              <w:t>43,9%</w:t>
            </w:r>
          </w:p>
        </w:tc>
        <w:tc>
          <w:tcPr>
            <w:tcW w:w="1622" w:type="dxa"/>
            <w:vMerge w:val="restart"/>
            <w:tcBorders>
              <w:top w:val="nil"/>
              <w:left w:val="single" w:sz="4" w:space="0" w:color="auto"/>
              <w:bottom w:val="single" w:sz="4" w:space="0" w:color="auto"/>
              <w:right w:val="single" w:sz="4" w:space="0" w:color="auto"/>
            </w:tcBorders>
            <w:shd w:val="clear" w:color="000000" w:fill="D9D9D9"/>
            <w:noWrap/>
            <w:vAlign w:val="bottom"/>
            <w:hideMark/>
          </w:tcPr>
          <w:p w14:paraId="2504CF60" w14:textId="77777777" w:rsidR="008B01F6" w:rsidRPr="00091484" w:rsidRDefault="008B01F6" w:rsidP="00BC1B83">
            <w:pPr>
              <w:jc w:val="center"/>
              <w:rPr>
                <w:rFonts w:ascii="Calibri" w:eastAsia="Times New Roman" w:hAnsi="Calibri" w:cs="Calibri"/>
                <w:b/>
                <w:bCs/>
                <w:color w:val="000000"/>
                <w:sz w:val="20"/>
                <w:szCs w:val="20"/>
              </w:rPr>
            </w:pPr>
            <w:r w:rsidRPr="00091484">
              <w:rPr>
                <w:rFonts w:ascii="Calibri" w:eastAsia="Times New Roman" w:hAnsi="Calibri" w:cs="Calibri"/>
                <w:b/>
                <w:bCs/>
                <w:color w:val="000000"/>
                <w:sz w:val="20"/>
                <w:szCs w:val="20"/>
              </w:rPr>
              <w:t>1.734.629</w:t>
            </w:r>
          </w:p>
        </w:tc>
        <w:tc>
          <w:tcPr>
            <w:tcW w:w="1320" w:type="dxa"/>
            <w:vMerge w:val="restart"/>
            <w:tcBorders>
              <w:top w:val="nil"/>
              <w:left w:val="single" w:sz="4" w:space="0" w:color="auto"/>
              <w:bottom w:val="single" w:sz="4" w:space="0" w:color="auto"/>
              <w:right w:val="single" w:sz="4" w:space="0" w:color="auto"/>
            </w:tcBorders>
            <w:shd w:val="clear" w:color="000000" w:fill="D9D9D9"/>
            <w:noWrap/>
            <w:vAlign w:val="bottom"/>
            <w:hideMark/>
          </w:tcPr>
          <w:p w14:paraId="449453EA" w14:textId="77777777" w:rsidR="008B01F6" w:rsidRPr="00091484" w:rsidRDefault="008B01F6" w:rsidP="00BC1B83">
            <w:pPr>
              <w:jc w:val="center"/>
              <w:rPr>
                <w:rFonts w:ascii="Calibri" w:eastAsia="Times New Roman" w:hAnsi="Calibri" w:cs="Calibri"/>
                <w:b/>
                <w:bCs/>
                <w:color w:val="000000"/>
                <w:sz w:val="20"/>
                <w:szCs w:val="20"/>
              </w:rPr>
            </w:pPr>
            <w:r w:rsidRPr="00091484">
              <w:rPr>
                <w:rFonts w:ascii="Calibri" w:eastAsia="Times New Roman" w:hAnsi="Calibri" w:cs="Calibri"/>
                <w:b/>
                <w:bCs/>
                <w:color w:val="000000"/>
                <w:sz w:val="20"/>
                <w:szCs w:val="20"/>
              </w:rPr>
              <w:t>219.026</w:t>
            </w:r>
          </w:p>
        </w:tc>
      </w:tr>
    </w:tbl>
    <w:p w14:paraId="5F34E518" w14:textId="06365F20" w:rsidR="005D56DD" w:rsidRPr="00546F3F" w:rsidRDefault="00546F3F" w:rsidP="00546F3F">
      <w:pPr>
        <w:spacing w:before="240" w:after="240"/>
        <w:jc w:val="center"/>
        <w:rPr>
          <w:sz w:val="20"/>
          <w:szCs w:val="20"/>
        </w:rPr>
      </w:pPr>
      <w:r w:rsidRPr="006D0CC3">
        <w:rPr>
          <w:sz w:val="20"/>
          <w:szCs w:val="20"/>
        </w:rPr>
        <w:t>Fuente: Elaboración propia en base a EPH – INDEC.</w:t>
      </w:r>
    </w:p>
    <w:p w14:paraId="23C164F4" w14:textId="17A39175" w:rsidR="005D56DD" w:rsidRDefault="00BC1B83" w:rsidP="009A5997">
      <w:pPr>
        <w:spacing w:before="240" w:after="240"/>
        <w:ind w:firstLine="720"/>
        <w:jc w:val="both"/>
      </w:pPr>
      <w:r>
        <w:t>Está claro que resulta imposible realizar una lectura de las cifras expuestas sin considerar el contexto mundial de crisis sociosanitaria que afecta al conjunto de las naciones, no sólo a nuestro país. Desde la ONU, por ejemplo, advierten que, si no se asumen medidas, el mundo atravesará la recesión global más importante desde la segunda guerra mundial que puede hacer retroceder décadas en materia de desarrollo y también señalan que por primera vez desde la década de 1990 se esperaría que la pobreza extrema aumente (en cerca de 100 millones más aproximadamente) y que la esperanza de vida se reduzca. América Latina, se llevaría la peor parte. Según Oxfam la región tendrá que afrontar una contracción del 9,4% este año, una de las más severas en todo el planeta lo que implicaría que hasta 52 millones de personas podrían caer en la pobreza y 40 millones podrían perder sus empleos, un retroceso de 15 años para la región</w:t>
      </w:r>
      <w:r w:rsidR="009A5997">
        <w:t>.</w:t>
      </w:r>
    </w:p>
    <w:p w14:paraId="4D4AA12F" w14:textId="77777777" w:rsidR="005D56DD" w:rsidRDefault="00BC1B83">
      <w:pPr>
        <w:spacing w:before="240" w:after="240"/>
        <w:jc w:val="both"/>
      </w:pPr>
      <w:r>
        <w:t xml:space="preserve">            </w:t>
      </w:r>
      <w:r>
        <w:tab/>
        <w:t>La tendencia mundial es ineludible y de lo que se trata, en todo caso, es de fortalecer la capacidad de los estados para blindar a la población de sus efectos. En este sentido, los índices de pobreza aquí presentados nos brindan información acerca de la efectividad que obtuvo la batería de política de ingresos, estímulos fiscales y monetaria desplegada por el gobierno argentino.</w:t>
      </w:r>
    </w:p>
    <w:p w14:paraId="4B5E2F33" w14:textId="71CE780F" w:rsidR="005D56DD" w:rsidRDefault="00BC1B83">
      <w:pPr>
        <w:spacing w:before="240" w:after="240"/>
        <w:jc w:val="both"/>
      </w:pPr>
      <w:r>
        <w:t xml:space="preserve">            </w:t>
      </w:r>
      <w:r>
        <w:tab/>
        <w:t>Por lo tanto, consideramos que son tres las dimensiones de análisis que deben ser convocadas para comprender el nivel de empobrecimiento reciente</w:t>
      </w:r>
      <w:r w:rsidR="009A5997">
        <w:t>:</w:t>
      </w:r>
    </w:p>
    <w:p w14:paraId="77458CB8" w14:textId="7F368422" w:rsidR="005D56DD" w:rsidRDefault="00BC1B83">
      <w:pPr>
        <w:spacing w:before="240" w:after="240"/>
        <w:ind w:left="360"/>
        <w:jc w:val="both"/>
      </w:pPr>
      <w:r>
        <w:rPr>
          <w:b/>
          <w:i/>
        </w:rPr>
        <w:lastRenderedPageBreak/>
        <w:t>1)</w:t>
      </w:r>
      <w:r>
        <w:rPr>
          <w:sz w:val="14"/>
          <w:szCs w:val="14"/>
        </w:rPr>
        <w:t xml:space="preserve">      </w:t>
      </w:r>
      <w:r>
        <w:rPr>
          <w:b/>
          <w:i/>
        </w:rPr>
        <w:t xml:space="preserve">El </w:t>
      </w:r>
      <w:proofErr w:type="spellStart"/>
      <w:r>
        <w:rPr>
          <w:b/>
          <w:i/>
        </w:rPr>
        <w:t>parate</w:t>
      </w:r>
      <w:proofErr w:type="spellEnd"/>
      <w:r>
        <w:rPr>
          <w:b/>
          <w:i/>
        </w:rPr>
        <w:t xml:space="preserve"> de la actividad económica y la destrucción de empleo: </w:t>
      </w:r>
      <w:r>
        <w:t xml:space="preserve">El segundo trimestre de este año es el período trimestral que contiene el mes del </w:t>
      </w:r>
      <w:proofErr w:type="spellStart"/>
      <w:r>
        <w:t>parate</w:t>
      </w:r>
      <w:proofErr w:type="spellEnd"/>
      <w:r>
        <w:t xml:space="preserve"> casi total de actividad económica, abril, en el cual la mayor parte de los sectores detuvieron completamente la actividad conforme a las restricciones obligatorias para la circulación dispuesta por el gobierno nacional. Recordemos que el EMAE al mes de abril </w:t>
      </w:r>
      <w:r w:rsidR="009A5997">
        <w:t>verificó una</w:t>
      </w:r>
      <w:r>
        <w:t xml:space="preserve"> caída del -26%, la construcción del -86,1%, la industria -33,9% y el comercio -27,9%.</w:t>
      </w:r>
      <w:r w:rsidR="00966045">
        <w:t xml:space="preserve"> </w:t>
      </w:r>
      <w:r>
        <w:t>Las ventas minoristas cayeron un -57,6%, los vehículos nacionales un -79,2%. El shock sobre la oferta y la demanda de ese mes generó que el PBI promedio del segundo trimestre cayera en un -19% interanual y un -16% durante el trimestre. No obstante, la prohibición de despidos y los esfuerzos por parte del gobierno nacional de sostener una parte del salario (mediante los ATP), los últimos datos SIPA informan que al mes de junio se perdieron 167 mil puestos de trabajo asalariados formales en el sector privado lo que implicó una reducción del -2,8%.</w:t>
      </w:r>
    </w:p>
    <w:p w14:paraId="42345CD7" w14:textId="399E1642" w:rsidR="005D56DD" w:rsidRDefault="00BC1B83" w:rsidP="00966045">
      <w:pPr>
        <w:spacing w:before="240" w:after="240"/>
        <w:ind w:left="360"/>
        <w:jc w:val="both"/>
        <w:rPr>
          <w:highlight w:val="yellow"/>
        </w:rPr>
      </w:pPr>
      <w:r>
        <w:t xml:space="preserve">Pero la destrucción de empleo más importante se dio en las categorías </w:t>
      </w:r>
      <w:r w:rsidR="000260C7">
        <w:t>informales del</w:t>
      </w:r>
      <w:r w:rsidR="00966045">
        <w:t xml:space="preserve"> </w:t>
      </w:r>
      <w:r>
        <w:t>empleo: de los 3,7 millones de ocupaciones menos, 2 millones eran asalariados no registrado y 1,2 millones inserciones de autoempleo (mayormente de subsistencia), poniendo en evidencia que, la configuración del mercado laboral argentino signado por la informalidad y la precariedad laboral pone serios límites al estado para poder proteger al empleo por medio de instrumentos convencionales</w:t>
      </w:r>
      <w:r>
        <w:rPr>
          <w:vertAlign w:val="superscript"/>
        </w:rPr>
        <w:footnoteReference w:id="1"/>
      </w:r>
      <w:r>
        <w:t xml:space="preserve">. </w:t>
      </w:r>
    </w:p>
    <w:p w14:paraId="6DDA7074" w14:textId="27183C1A" w:rsidR="005D56DD" w:rsidRDefault="00BC1B83" w:rsidP="00966045">
      <w:pPr>
        <w:spacing w:before="240" w:after="240"/>
        <w:ind w:left="360"/>
        <w:jc w:val="both"/>
      </w:pPr>
      <w:r>
        <w:t>Esta cuestión en particular, hay que destacar, no es responsabilidad solamente de la</w:t>
      </w:r>
      <w:r w:rsidR="00966045">
        <w:t xml:space="preserve"> </w:t>
      </w:r>
      <w:r>
        <w:t xml:space="preserve">pandemia y sus efectos mundiales. El desplome del empleo será mayor en los países que cuenten con mercado de trabajos más desprotegidos como es el caso de Argentina. </w:t>
      </w:r>
    </w:p>
    <w:p w14:paraId="701915DD" w14:textId="77777777" w:rsidR="005D56DD" w:rsidRDefault="00BC1B83" w:rsidP="00A571D6">
      <w:pPr>
        <w:spacing w:before="240" w:after="240"/>
        <w:ind w:left="360"/>
        <w:jc w:val="both"/>
      </w:pPr>
      <w:r>
        <w:t>Pero el mes de abril no fue el único responsable del deterioro de las condiciones de vida del trimestre. Lo cierto es que los meses de mayo y junio vienen demostrando una “recuperación detenida” es decir, si bien se supera el pozo del mes de abril, el mercado interno debilitado no permite una efectiva y sostenida reactivación a pesar del levantamiento de las restricciones más severas a la circulación y la reanudación de buena parte de las actividades y comercios. Ver anexo.</w:t>
      </w:r>
    </w:p>
    <w:p w14:paraId="0D68A5B7" w14:textId="77777777" w:rsidR="005D56DD" w:rsidRDefault="00BC1B83">
      <w:pPr>
        <w:spacing w:before="240" w:after="240"/>
        <w:jc w:val="both"/>
      </w:pPr>
      <w:r>
        <w:t xml:space="preserve"> </w:t>
      </w:r>
    </w:p>
    <w:p w14:paraId="02AA1CA6" w14:textId="5D5ACE21" w:rsidR="005D56DD" w:rsidRDefault="00BC1B83">
      <w:pPr>
        <w:spacing w:before="240" w:after="240"/>
        <w:ind w:left="360"/>
        <w:jc w:val="both"/>
      </w:pPr>
      <w:r>
        <w:rPr>
          <w:b/>
          <w:i/>
        </w:rPr>
        <w:t>2)</w:t>
      </w:r>
      <w:r>
        <w:rPr>
          <w:sz w:val="14"/>
          <w:szCs w:val="14"/>
        </w:rPr>
        <w:t xml:space="preserve">      </w:t>
      </w:r>
      <w:r>
        <w:rPr>
          <w:b/>
          <w:i/>
        </w:rPr>
        <w:t>La activa intervención del estado y algunas de sus limitaciones</w:t>
      </w:r>
      <w:r>
        <w:t xml:space="preserve">: Resulta claro de lo anterior que la virulencia del </w:t>
      </w:r>
      <w:proofErr w:type="spellStart"/>
      <w:r>
        <w:t>parate</w:t>
      </w:r>
      <w:proofErr w:type="spellEnd"/>
      <w:r>
        <w:t xml:space="preserve"> económico requirió de medidas activas por parte del Estado para evitar el colapso. Un estado que, por otra parte, contaba con una dificultad adicional vinculada a la herencia de la gestión anterior: fuertemente desfinanciado en materia de recursos provenientes de tributos progresivos y </w:t>
      </w:r>
      <w:proofErr w:type="spellStart"/>
      <w:r>
        <w:t>contracíclicos</w:t>
      </w:r>
      <w:proofErr w:type="spellEnd"/>
      <w:r>
        <w:t xml:space="preserve"> y además </w:t>
      </w:r>
      <w:proofErr w:type="spellStart"/>
      <w:r>
        <w:t>sobreendeudado</w:t>
      </w:r>
      <w:proofErr w:type="spellEnd"/>
      <w:r>
        <w:t>. De todos modos, el paquete de medidas se puso en marcha con cierta inmediatez.  Según la última ampliación presupuestaria, los gastos propios de las políticas implementadas por la pandemia promedian $870.000 millones. En ese monto se incluye los bonos a personas jubiladas y pensionadas, el refuerzo del plan alimentario</w:t>
      </w:r>
      <w:r w:rsidR="00A571D6">
        <w:rPr>
          <w:rStyle w:val="Refdenotaalpie"/>
        </w:rPr>
        <w:footnoteReference w:id="2"/>
      </w:r>
      <w:r>
        <w:t xml:space="preserve">, el IFE, el </w:t>
      </w:r>
      <w:r>
        <w:lastRenderedPageBreak/>
        <w:t xml:space="preserve">ATP, la construcción de los hospitales modulares y otros refuerzos en el equipamiento sanitario, así como también la asistencia financiera a provincias y organismos. De esta manera, entre marzo y junio, el gasto primario aumentó 83,3% en términos interanuales, mostrando una aceleración fuerte con relación </w:t>
      </w:r>
      <w:r w:rsidR="00A571D6">
        <w:t>con los primeros meses del año</w:t>
      </w:r>
      <w:r>
        <w:t>.</w:t>
      </w:r>
    </w:p>
    <w:p w14:paraId="5319C480" w14:textId="77777777" w:rsidR="005D56DD" w:rsidRDefault="00BC1B83" w:rsidP="00A571D6">
      <w:pPr>
        <w:spacing w:before="240" w:after="240"/>
        <w:ind w:left="360"/>
        <w:jc w:val="both"/>
      </w:pPr>
      <w:r>
        <w:t>El IFE fue una de las novedades más importante que seguro dejará huella en la política social. El primer ingreso de amplio alcance de carácter incondicional, aunque transitorio que permitió que las personas con inserciones laborales por fuera de la formalidad contaran con el sostén de un ingreso brindado por el estado llegando a rozar los 9 millones de preceptores. Los ATP, que financian una parte del salario de empresas en crisis, por su parte tuvo un alcance de 2,5 millones de trabajadores y trabajadoras.</w:t>
      </w:r>
    </w:p>
    <w:p w14:paraId="1E94452F" w14:textId="77777777" w:rsidR="005D56DD" w:rsidRDefault="00BC1B83" w:rsidP="00A571D6">
      <w:pPr>
        <w:spacing w:before="240" w:after="240"/>
        <w:ind w:left="360"/>
        <w:jc w:val="both"/>
      </w:pPr>
      <w:r>
        <w:t>Según una estimación conjunta de los Ministerios de Economía, Desarrollo Productivo y Trabajo, Empleo y Seguridad Social, el IFE evitó que entre 2,7 y 4,6 millones de personas cayeran en la pobreza conforme a la posibilidad de haber podido llegar al 90% de los hogares ubicados en los deciles más pobres (la AUH por ejemplo llega al 60%).</w:t>
      </w:r>
    </w:p>
    <w:p w14:paraId="392EEF05" w14:textId="77777777" w:rsidR="005D56DD" w:rsidRDefault="00BC1B83" w:rsidP="00A571D6">
      <w:pPr>
        <w:spacing w:before="240" w:after="240"/>
        <w:ind w:left="360"/>
        <w:jc w:val="both"/>
      </w:pPr>
      <w:r>
        <w:t>A la luz de los números de pobreza reciente publicados por el INDEC podríamos entonces inferir que, de no haber mediado la contención directa de ingresos, nuestro país estaría contabilizando entre 6,8 y 8,7 millones de pobres más. Es decir, en otras palabras, el sector público fue capaz de contener entre el 40% y 53% del deterioro social.</w:t>
      </w:r>
    </w:p>
    <w:p w14:paraId="58946F94" w14:textId="7326367B" w:rsidR="005D56DD" w:rsidRDefault="00BC1B83" w:rsidP="00A571D6">
      <w:pPr>
        <w:spacing w:before="240" w:after="240"/>
        <w:ind w:left="360"/>
        <w:jc w:val="both"/>
      </w:pPr>
      <w:r>
        <w:t>Sin embargo, debe señalarse una situación respecto al IFE que debería corregirse para fortalecer la capacidad de respuesta del estado: el IFE en lugar de ser un pago mensual, en la práctica resultó ser de aplicación bimestral. De haberse pagado en tiempo y forma correspondiente, el costo de esta medida debería haber estado en el orden teóricamente de los $89.000 millones por mes. Sin embargo, tal como mencionamos previamente, el presupuesto refleja una realidad algo distinta: se pagaron en los 3 meses de aplicación de la medida $131.448 millones, valor que, si se traslada a una periodización mensual, se ubica en los $43.816 millones. Es decir, lo que efectivamente asignó el gobierno para afrontar las necesidades de los hogares que resintieron la crisis en sus ingresos fue la mitad de lo anunciado.</w:t>
      </w:r>
    </w:p>
    <w:p w14:paraId="518955A9" w14:textId="4869A29A" w:rsidR="005D56DD" w:rsidRDefault="00BC1B83" w:rsidP="005315E9">
      <w:pPr>
        <w:spacing w:before="240" w:after="240"/>
        <w:ind w:left="360" w:firstLine="60"/>
        <w:jc w:val="both"/>
      </w:pPr>
      <w:r>
        <w:t>Es evidente que el sostenimiento de la situación de emergencia social exige redoblar las medidas dispuestas. El impulso de la contención social y productiva por parte del estado fue muy importante y efectivo al inicio de la pandemia, aunque comienza a notarse cierta pérdida de impulso en los meses posteriores, sin haber sido resuelto el problema epidemiológico y ante la evidencia de fuertes limitaciones para la reanudación de la actividad económica con una demanda planchada. Todavía no está claro el pago de una cuarta ronda de IFE, aunque se esperan anuncios que restrinjan su alcance a partir de nuevas condicionalidades que refuercen la selección de la condición de vulnerabilidad.</w:t>
      </w:r>
    </w:p>
    <w:p w14:paraId="1CA80685" w14:textId="2650584A" w:rsidR="005D56DD" w:rsidRDefault="00BC1B83" w:rsidP="005315E9">
      <w:pPr>
        <w:spacing w:before="240" w:after="240"/>
        <w:ind w:left="360"/>
        <w:jc w:val="both"/>
      </w:pPr>
      <w:r>
        <w:t xml:space="preserve">Por otra parte, si bien la extensión de la cobertura que permitió el IFE es indiscutiblemente amplia en relación con los programas previos, lo cierto es que el cuadro social contenía un agravamiento muy acelerado que requería volver a poner en discusión la posibilidad de brindar ingresos de carácter universal al conjunto de la población. La opción por la </w:t>
      </w:r>
      <w:r>
        <w:lastRenderedPageBreak/>
        <w:t>focalización implicó que entre 1,6 y 3,1 millones de trabajadores y trabajadoras que potencialmente podrían ingresar no pudieron hacerlo</w:t>
      </w:r>
      <w:r w:rsidR="005315E9">
        <w:rPr>
          <w:rStyle w:val="Refdenotaalpie"/>
        </w:rPr>
        <w:footnoteReference w:id="3"/>
      </w:r>
      <w:r>
        <w:t>.</w:t>
      </w:r>
    </w:p>
    <w:p w14:paraId="750ED2C9" w14:textId="77777777" w:rsidR="005D56DD" w:rsidRDefault="00BC1B83" w:rsidP="002A0F01">
      <w:pPr>
        <w:spacing w:before="240" w:after="240"/>
        <w:ind w:left="360"/>
        <w:jc w:val="both"/>
      </w:pPr>
      <w:r>
        <w:t>Argentina que, durante los primeros meses de la pandemia, en marzo y abril era uno de los países de América Latina que mayor porcentaje del producto destinaba a los paquetes de estímulo fiscal y financiero para paliar sus efectos, al promediar el mes de junio, fue languideciendo esa intervención en términos relativos respecto a la región y el mundo.</w:t>
      </w:r>
    </w:p>
    <w:p w14:paraId="54B96B3E" w14:textId="77777777" w:rsidR="005D56DD" w:rsidRDefault="00BC1B83">
      <w:pPr>
        <w:spacing w:before="240" w:after="240"/>
        <w:ind w:left="700"/>
        <w:jc w:val="both"/>
      </w:pPr>
      <w:r>
        <w:t xml:space="preserve"> </w:t>
      </w:r>
    </w:p>
    <w:p w14:paraId="68541E09" w14:textId="1E6B3946" w:rsidR="005D56DD" w:rsidRPr="002A0F01" w:rsidRDefault="002A0F01" w:rsidP="002A0F01">
      <w:pPr>
        <w:spacing w:before="240" w:after="240"/>
        <w:jc w:val="both"/>
      </w:pPr>
      <w:r w:rsidRPr="002A0F01">
        <w:t xml:space="preserve">Cuadro 4: </w:t>
      </w:r>
      <w:r w:rsidR="00BC1B83" w:rsidRPr="002A0F01">
        <w:t>Paquetes de estímulo fiscal y financiero al 12 de junio en comparación internacional. Países seleccionados.</w:t>
      </w:r>
    </w:p>
    <w:p w14:paraId="7E112A6A" w14:textId="77777777" w:rsidR="005D56DD" w:rsidRDefault="00BC1B83">
      <w:pPr>
        <w:spacing w:before="240" w:after="240"/>
        <w:jc w:val="center"/>
        <w:rPr>
          <w:b/>
        </w:rPr>
      </w:pPr>
      <w:r>
        <w:rPr>
          <w:b/>
          <w:noProof/>
        </w:rPr>
        <w:drawing>
          <wp:inline distT="114300" distB="114300" distL="114300" distR="114300" wp14:anchorId="0FDE9CD6" wp14:editId="6A33726A">
            <wp:extent cx="2895600" cy="47053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895600" cy="4705350"/>
                    </a:xfrm>
                    <a:prstGeom prst="rect">
                      <a:avLst/>
                    </a:prstGeom>
                    <a:ln/>
                  </pic:spPr>
                </pic:pic>
              </a:graphicData>
            </a:graphic>
          </wp:inline>
        </w:drawing>
      </w:r>
    </w:p>
    <w:p w14:paraId="73951AF7" w14:textId="77777777" w:rsidR="005D56DD" w:rsidRDefault="00BC1B83">
      <w:pPr>
        <w:spacing w:before="240" w:after="240"/>
        <w:ind w:left="2120" w:firstLine="700"/>
        <w:rPr>
          <w:sz w:val="18"/>
          <w:szCs w:val="18"/>
        </w:rPr>
      </w:pPr>
      <w:r>
        <w:rPr>
          <w:b/>
          <w:sz w:val="18"/>
          <w:szCs w:val="18"/>
        </w:rPr>
        <w:t>Fuente</w:t>
      </w:r>
      <w:r>
        <w:rPr>
          <w:sz w:val="18"/>
          <w:szCs w:val="18"/>
        </w:rPr>
        <w:t>: elaboración propia en base a datos del FMI.</w:t>
      </w:r>
    </w:p>
    <w:p w14:paraId="3A387CAD" w14:textId="77777777" w:rsidR="005D56DD" w:rsidRDefault="00BC1B83">
      <w:pPr>
        <w:spacing w:before="240" w:after="240"/>
        <w:jc w:val="center"/>
        <w:rPr>
          <w:sz w:val="18"/>
          <w:szCs w:val="18"/>
        </w:rPr>
      </w:pPr>
      <w:r>
        <w:rPr>
          <w:sz w:val="18"/>
          <w:szCs w:val="18"/>
        </w:rPr>
        <w:t xml:space="preserve">Nota: la inversión fiscal contempla los incrementos presupuestarios “por arriba de la línea” (transferencias a la población, programas de salud y de protección al trabajo y al empleo, etc.). La inversión financiera comprende </w:t>
      </w:r>
      <w:r>
        <w:rPr>
          <w:sz w:val="18"/>
          <w:szCs w:val="18"/>
        </w:rPr>
        <w:lastRenderedPageBreak/>
        <w:t>tanto las operaciones presupuestarias “por debajo de la línea” (inyecciones de liquidez, préstamos, compra de activos, condonación de deudas y garantías).</w:t>
      </w:r>
    </w:p>
    <w:p w14:paraId="0C430438" w14:textId="64CAD7F9" w:rsidR="005D56DD" w:rsidRDefault="00BC1B83" w:rsidP="00546F3F">
      <w:pPr>
        <w:spacing w:before="240" w:after="240"/>
        <w:ind w:left="700"/>
        <w:jc w:val="both"/>
      </w:pPr>
      <w:r>
        <w:t xml:space="preserve"> </w:t>
      </w:r>
    </w:p>
    <w:p w14:paraId="02058D66" w14:textId="7C41DB66" w:rsidR="005D56DD" w:rsidRDefault="00BC1B83">
      <w:pPr>
        <w:spacing w:before="240" w:after="240"/>
        <w:jc w:val="both"/>
      </w:pPr>
      <w:r>
        <w:rPr>
          <w:b/>
          <w:i/>
        </w:rPr>
        <w:t>3) La indisciplina del poder económico, el descontrol de los precios</w:t>
      </w:r>
      <w:r>
        <w:t xml:space="preserve">. Con la llegada de la pandemia hacia mediados de </w:t>
      </w:r>
      <w:r w:rsidR="002A0F01">
        <w:t>marzo</w:t>
      </w:r>
      <w:r>
        <w:t xml:space="preserve"> y las primeras medidas de restricción a la circulación, se dio un impulso de la demanda de alimentos y otros bienes esenciales, ante lo cual el comportamiento especulativo de ciertos sectores de oferentes indujo un aumento desmedido de precios en algunos productos. En ese marco, el Ministerio de Desarrollo Productivo lanzó el programa de </w:t>
      </w:r>
      <w:r>
        <w:rPr>
          <w:i/>
        </w:rPr>
        <w:t>Precios Máximos</w:t>
      </w:r>
      <w:r>
        <w:t xml:space="preserve">, por el cual dispuso que desde el 20 de marzo los precios de alimentos de la canasta básica, bebidas, artículos de higiene personal y limpieza mantendrían, como máximo, el precio que tenían al 6 de marzo pasado. La medida alcanzó a hipermercados, supermercados minoristas y mayoristas, minimercados, almacenes y autoservicios. En ese marco, además, se impulsó la coordinación municipal para la fiscalización y el control de precios, mediante la convocatoria a los Intendentes e Intendentas de todo el país a realizar en forma conjunta con la Secretaría de Comercio Interior, el control y la fiscalización de los precios máximos fijados. Si bien las inspecciones identificaron numerosas infracciones, una política de este tipo requiere para ser efectiva la puesta en marcha de un extenso andamiaje de controles que difícilmente puede cubrir sistemáticamente la totalidad de comercios a lo largo y a lo ancho del país. Otro de los principales programas del gobierno para controlar los precios es el programa de </w:t>
      </w:r>
      <w:r>
        <w:rPr>
          <w:i/>
        </w:rPr>
        <w:t>Precios Cuidados</w:t>
      </w:r>
      <w:r>
        <w:t>, que se</w:t>
      </w:r>
      <w:r>
        <w:rPr>
          <w:sz w:val="20"/>
          <w:szCs w:val="20"/>
        </w:rPr>
        <w:t xml:space="preserve"> </w:t>
      </w:r>
      <w:r>
        <w:t xml:space="preserve">relanzó en </w:t>
      </w:r>
      <w:proofErr w:type="gramStart"/>
      <w:r>
        <w:t>Enero</w:t>
      </w:r>
      <w:proofErr w:type="gramEnd"/>
      <w:r>
        <w:t xml:space="preserve"> y si bien preveía una actualización trimestral, esa instancia quedó suspendida en el mes de abril como consecuencia del impacto de la pandemia del COVID 19. Por otra parte, se mantuvo el congelamiento de las tarifas de servicios públicos dispuesto a inicios del año.</w:t>
      </w:r>
    </w:p>
    <w:p w14:paraId="1D1A5A61" w14:textId="590699C1" w:rsidR="002A0F01" w:rsidRDefault="00BC1B83" w:rsidP="002A0F01">
      <w:pPr>
        <w:spacing w:before="240" w:after="240"/>
        <w:ind w:firstLine="720"/>
        <w:jc w:val="both"/>
      </w:pPr>
      <w:r>
        <w:t xml:space="preserve">A pesar de este conjunto de medidas, los precios continuaron aumentando. De hecho, entre Febrero (el último mes sin efectos de la pandemia) y </w:t>
      </w:r>
      <w:r w:rsidR="002A0F01">
        <w:t>junio</w:t>
      </w:r>
      <w:r>
        <w:t xml:space="preserve">, los precios aumentaron a nivel general un 8,8% en el GBA, mientras los precios de los alimentos y bebidas crecieron un 8,6%. Si bien las variaciones mensuales mostraron una desaceleración respecto a los meses previos a la pandemia, resulta notable </w:t>
      </w:r>
      <w:r w:rsidR="002A0F01">
        <w:t>que,</w:t>
      </w:r>
      <w:r>
        <w:t xml:space="preserve"> en el marco de un hundimiento de la actividad económica sin precedentes, los precios de los alimentos no sólo siguieron </w:t>
      </w:r>
      <w:r w:rsidR="002A0F01">
        <w:t>creciendo,</w:t>
      </w:r>
      <w:r>
        <w:t xml:space="preserve"> sino que en algunos rubros mostraron aumentos muy superiores a la media. En efecto, entre febrero y junio, los precios de las verduras, tubérculos y legumbres crecieron un 35,3% mientras las frutas aumentaron un 10,4%. </w:t>
      </w:r>
    </w:p>
    <w:p w14:paraId="3C126034" w14:textId="77777777" w:rsidR="00546F3F" w:rsidRDefault="00546F3F" w:rsidP="002A0F01">
      <w:pPr>
        <w:spacing w:before="240" w:after="240"/>
        <w:jc w:val="both"/>
      </w:pPr>
    </w:p>
    <w:p w14:paraId="5CF4AF9D" w14:textId="77777777" w:rsidR="00546F3F" w:rsidRDefault="00546F3F" w:rsidP="002A0F01">
      <w:pPr>
        <w:spacing w:before="240" w:after="240"/>
        <w:jc w:val="both"/>
      </w:pPr>
    </w:p>
    <w:p w14:paraId="11CA34F8" w14:textId="77777777" w:rsidR="00546F3F" w:rsidRDefault="00546F3F" w:rsidP="002A0F01">
      <w:pPr>
        <w:spacing w:before="240" w:after="240"/>
        <w:jc w:val="both"/>
      </w:pPr>
    </w:p>
    <w:p w14:paraId="71F51006" w14:textId="77777777" w:rsidR="00546F3F" w:rsidRDefault="00546F3F" w:rsidP="002A0F01">
      <w:pPr>
        <w:spacing w:before="240" w:after="240"/>
        <w:jc w:val="both"/>
      </w:pPr>
    </w:p>
    <w:p w14:paraId="539FD547" w14:textId="77777777" w:rsidR="00546F3F" w:rsidRDefault="00546F3F" w:rsidP="002A0F01">
      <w:pPr>
        <w:spacing w:before="240" w:after="240"/>
        <w:jc w:val="both"/>
      </w:pPr>
    </w:p>
    <w:p w14:paraId="05E33D08" w14:textId="77777777" w:rsidR="00546F3F" w:rsidRDefault="00546F3F" w:rsidP="002A0F01">
      <w:pPr>
        <w:spacing w:before="240" w:after="240"/>
        <w:jc w:val="both"/>
      </w:pPr>
    </w:p>
    <w:p w14:paraId="66B44947" w14:textId="77777777" w:rsidR="00546F3F" w:rsidRDefault="00546F3F" w:rsidP="002A0F01">
      <w:pPr>
        <w:spacing w:before="240" w:after="240"/>
        <w:jc w:val="both"/>
      </w:pPr>
    </w:p>
    <w:p w14:paraId="77E8DCAB" w14:textId="79A915BF" w:rsidR="002A0F01" w:rsidRDefault="002A0F01" w:rsidP="002A0F01">
      <w:pPr>
        <w:spacing w:before="240" w:after="240"/>
        <w:jc w:val="both"/>
        <w:rPr>
          <w:highlight w:val="yellow"/>
        </w:rPr>
      </w:pPr>
      <w:r>
        <w:lastRenderedPageBreak/>
        <w:t>Cuadro 5: Evolución del IPC del capítulo de Alimento y Bebidas para región del GBA. Períodos seleccionados.</w:t>
      </w:r>
    </w:p>
    <w:p w14:paraId="7BDE0E76" w14:textId="5DB2E8B9" w:rsidR="005D56DD" w:rsidRDefault="00BC1B83">
      <w:pPr>
        <w:spacing w:before="240" w:after="240"/>
        <w:ind w:firstLine="700"/>
        <w:jc w:val="both"/>
      </w:pPr>
      <w:r>
        <w:t xml:space="preserve"> </w:t>
      </w:r>
      <w:r>
        <w:rPr>
          <w:noProof/>
        </w:rPr>
        <w:drawing>
          <wp:inline distT="114300" distB="114300" distL="114300" distR="114300" wp14:anchorId="52B940F2" wp14:editId="27FD6818">
            <wp:extent cx="4829175" cy="21050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829175" cy="2105025"/>
                    </a:xfrm>
                    <a:prstGeom prst="rect">
                      <a:avLst/>
                    </a:prstGeom>
                    <a:ln/>
                  </pic:spPr>
                </pic:pic>
              </a:graphicData>
            </a:graphic>
          </wp:inline>
        </w:drawing>
      </w:r>
    </w:p>
    <w:p w14:paraId="3396EF0E" w14:textId="60347F5A" w:rsidR="002A0F01" w:rsidRPr="002A0F01" w:rsidRDefault="002A0F01" w:rsidP="002A0F01">
      <w:pPr>
        <w:spacing w:before="240" w:after="240"/>
        <w:ind w:firstLine="700"/>
        <w:jc w:val="center"/>
        <w:rPr>
          <w:sz w:val="20"/>
          <w:szCs w:val="20"/>
        </w:rPr>
      </w:pPr>
      <w:r w:rsidRPr="002A0F01">
        <w:rPr>
          <w:sz w:val="20"/>
          <w:szCs w:val="20"/>
        </w:rPr>
        <w:t>Fuente: Elaboración propia en base a datos del INDEC.</w:t>
      </w:r>
    </w:p>
    <w:p w14:paraId="10DDB1F7" w14:textId="41551C69" w:rsidR="005D56DD" w:rsidRDefault="00BC1B83">
      <w:pPr>
        <w:spacing w:before="240" w:after="240"/>
        <w:ind w:firstLine="700"/>
        <w:jc w:val="both"/>
      </w:pPr>
      <w:r>
        <w:t xml:space="preserve"> A partir de </w:t>
      </w:r>
      <w:r w:rsidR="002A0F01">
        <w:t>junio</w:t>
      </w:r>
      <w:r>
        <w:t xml:space="preserve">, los precios continuaron su sendero ascendente, lo cual se potenció desde </w:t>
      </w:r>
      <w:r w:rsidR="002A0F01">
        <w:t>j</w:t>
      </w:r>
      <w:r>
        <w:t>ulio cuando, si bien la política de Precios Máximos se prorrogó y continúa vigente hasta el momento, se aplicaron aumentos en los precios de referencia, como resultado de reiterados reclamos por parte de las empresas de consumo masivo, ante los cuales el Gobierno finalmente cedió. Lo mismo sucedió con el programa de Precios Cuidados que</w:t>
      </w:r>
      <w:r w:rsidR="002A0F01">
        <w:t>,</w:t>
      </w:r>
      <w:r>
        <w:t xml:space="preserve"> si bien amplió desde Julio la canasta de productos alcanzados, dispuso la actualización de los precios vigentes hasta ese momento. En este marco, hasta </w:t>
      </w:r>
      <w:r w:rsidR="002A0F01">
        <w:t>agosto</w:t>
      </w:r>
      <w:r>
        <w:t xml:space="preserve"> los precios de los alimentos aumentaron casi un 15% respecto a </w:t>
      </w:r>
      <w:r w:rsidR="002A0F01">
        <w:t>febrero</w:t>
      </w:r>
      <w:r>
        <w:t>, período en el cual los precios de las verduras alcanzaron un incremento del 40,7%, seguido de las frutas (+20,1%) y las carnes (+14,8%). Las presiones ejercidas por los distintos actores que inciden en la formación de precios, lejos de ceder en un contexto extraordinario de emergencia social y sanitaria, se reflejan no solo en estos resultados sino en manifestaciones de público conocimiento, como los reclamos por parte de entidades que nuclean a supermercados y empresas de consumo masivo que apuntan contra las subas de precios no autorizadas efectuadas por la industria alimenticia. Incluso, desde la Copal (</w:t>
      </w:r>
      <w:r>
        <w:rPr>
          <w:highlight w:val="white"/>
        </w:rPr>
        <w:t>Coordinadora de las Industrias de Productos Alimenticios)</w:t>
      </w:r>
      <w:r>
        <w:t xml:space="preserve"> se han expresado públicamente a favor de eliminar la política de Precios Máximos.</w:t>
      </w:r>
    </w:p>
    <w:p w14:paraId="24011631" w14:textId="355A72F0" w:rsidR="005D56DD" w:rsidRDefault="00BC1B83">
      <w:pPr>
        <w:spacing w:before="240" w:after="240"/>
        <w:ind w:firstLine="700"/>
        <w:jc w:val="both"/>
      </w:pPr>
      <w:r>
        <w:t xml:space="preserve">Tal como hemos planteado ya en otros documentos, consideramos </w:t>
      </w:r>
      <w:proofErr w:type="gramStart"/>
      <w:r>
        <w:t>que</w:t>
      </w:r>
      <w:proofErr w:type="gramEnd"/>
      <w:r>
        <w:t xml:space="preserve"> en el marco de la crisis generada por la pandemia, el Poder Ejecutivo podría haber dispuesto la decisión de </w:t>
      </w:r>
      <w:r>
        <w:rPr>
          <w:b/>
        </w:rPr>
        <w:t>declarar de interés público</w:t>
      </w:r>
      <w:r>
        <w:t xml:space="preserve"> a aquellas actividades que ocupan un lugar central para afrontar la emergencia, como lo es la producción y comercialización de alimentos. Esta declaración hubiera permitido la intervención del Estado sobre aquellas firmas o actividades que no sujeten su comportamiento a las necesidades de la reproducción social, comportamiento que resulta aún más reprensible en el caso de las grandes empresas de alimentos y bebidas que de hecho han tenido en los últimos años un incremento en su facturación superior al promedio de la cúpula económica</w:t>
      </w:r>
      <w:r w:rsidR="002A0F01">
        <w:rPr>
          <w:rStyle w:val="Refdenotaalpie"/>
        </w:rPr>
        <w:footnoteReference w:id="4"/>
      </w:r>
      <w:r w:rsidR="002A0F01">
        <w:t xml:space="preserve"> </w:t>
      </w:r>
      <w:r>
        <w:t xml:space="preserve">[1]. Asimismo, propiciamos que se avance en medidas concretas para organizar la producción de la canasta básica en base a </w:t>
      </w:r>
      <w:r>
        <w:lastRenderedPageBreak/>
        <w:t xml:space="preserve">un Plan que incorpore a la </w:t>
      </w:r>
      <w:r>
        <w:rPr>
          <w:b/>
        </w:rPr>
        <w:t>economía popular</w:t>
      </w:r>
      <w:r>
        <w:t xml:space="preserve">, la </w:t>
      </w:r>
      <w:r>
        <w:rPr>
          <w:b/>
        </w:rPr>
        <w:t>agricultura familiar</w:t>
      </w:r>
      <w:r>
        <w:t xml:space="preserve">, las </w:t>
      </w:r>
      <w:r>
        <w:rPr>
          <w:b/>
        </w:rPr>
        <w:t>pymes</w:t>
      </w:r>
      <w:r>
        <w:t xml:space="preserve"> y las </w:t>
      </w:r>
      <w:r>
        <w:rPr>
          <w:b/>
        </w:rPr>
        <w:t>cooperativas</w:t>
      </w:r>
      <w:r>
        <w:t>.</w:t>
      </w:r>
    </w:p>
    <w:p w14:paraId="58BD17E3" w14:textId="77777777" w:rsidR="005D56DD" w:rsidRDefault="005D56DD">
      <w:pPr>
        <w:spacing w:before="240" w:after="240"/>
        <w:ind w:firstLine="700"/>
        <w:jc w:val="both"/>
      </w:pPr>
    </w:p>
    <w:p w14:paraId="3DC3F987" w14:textId="77777777" w:rsidR="005D56DD" w:rsidRDefault="005D56DD">
      <w:pPr>
        <w:spacing w:before="240" w:after="240"/>
        <w:ind w:firstLine="700"/>
        <w:jc w:val="both"/>
      </w:pPr>
    </w:p>
    <w:p w14:paraId="38630A0E" w14:textId="57236B21" w:rsidR="005D56DD" w:rsidRDefault="005D56DD" w:rsidP="00546F3F">
      <w:pPr>
        <w:spacing w:before="240" w:after="240"/>
        <w:ind w:firstLine="700"/>
        <w:jc w:val="both"/>
      </w:pPr>
    </w:p>
    <w:p w14:paraId="4A858869" w14:textId="77777777" w:rsidR="005D56DD" w:rsidRDefault="00BC1B83">
      <w:pPr>
        <w:spacing w:before="240" w:after="240"/>
        <w:ind w:firstLine="700"/>
        <w:jc w:val="both"/>
      </w:pPr>
      <w:r>
        <w:t xml:space="preserve"> </w:t>
      </w:r>
    </w:p>
    <w:p w14:paraId="4B3BD60D" w14:textId="77777777" w:rsidR="009B2C77" w:rsidRDefault="009B2C77">
      <w:pPr>
        <w:rPr>
          <w:b/>
          <w:u w:val="single"/>
        </w:rPr>
      </w:pPr>
      <w:r>
        <w:rPr>
          <w:b/>
          <w:u w:val="single"/>
        </w:rPr>
        <w:br w:type="page"/>
      </w:r>
    </w:p>
    <w:p w14:paraId="7FCF0F5D" w14:textId="2E6747D7" w:rsidR="005D56DD" w:rsidRDefault="00BC1B83">
      <w:pPr>
        <w:spacing w:before="240" w:after="240"/>
        <w:jc w:val="both"/>
        <w:rPr>
          <w:b/>
          <w:u w:val="single"/>
        </w:rPr>
      </w:pPr>
      <w:r>
        <w:rPr>
          <w:b/>
          <w:u w:val="single"/>
        </w:rPr>
        <w:lastRenderedPageBreak/>
        <w:t>La comparación trimestral y el semestre completo</w:t>
      </w:r>
    </w:p>
    <w:p w14:paraId="458D6037" w14:textId="77777777" w:rsidR="005D56DD" w:rsidRDefault="00BC1B83">
      <w:pPr>
        <w:spacing w:before="240" w:after="240"/>
        <w:jc w:val="both"/>
      </w:pPr>
      <w:r>
        <w:t xml:space="preserve"> </w:t>
      </w:r>
    </w:p>
    <w:p w14:paraId="2F87804E" w14:textId="6778F819" w:rsidR="005D56DD" w:rsidRDefault="00BC1B83">
      <w:pPr>
        <w:spacing w:before="240" w:after="240"/>
        <w:jc w:val="both"/>
      </w:pPr>
      <w:r>
        <w:t xml:space="preserve">            </w:t>
      </w:r>
      <w:r>
        <w:tab/>
        <w:t>Durante los primeros tres meses del año, caracterizados por el inicio de una nueva gestión a cargo del Poder Ejecutivo, con el objetivo de contener la emergencia social recibida del gobierno anterior</w:t>
      </w:r>
      <w:r w:rsidR="005222B6">
        <w:rPr>
          <w:rStyle w:val="Refdenotaalpie"/>
        </w:rPr>
        <w:footnoteReference w:id="5"/>
      </w:r>
      <w:r>
        <w:t>, comenzaron a destinarse mayores recursos públicos para transferir ingresos a grupos poblacionales vulnerables. Vale señalar la implementación de la Tarjeta Alimentar</w:t>
      </w:r>
      <w:r w:rsidR="005222B6">
        <w:rPr>
          <w:rStyle w:val="Refdenotaalpie"/>
        </w:rPr>
        <w:footnoteReference w:id="6"/>
      </w:r>
      <w:r>
        <w:t>, aumentos salariales a trabajadores del sector público a cuenta de las paritarias, los bonos que implicaron pagos extraordinarios</w:t>
      </w:r>
      <w:r w:rsidR="005222B6">
        <w:t xml:space="preserve"> </w:t>
      </w:r>
      <w:r>
        <w:t>en diciembre y enero y los aumentos del haber mínimo y de la AUH. A su vez, el actual gobierno había comenzado a invertir la ecuación de política monetaria logrando bajar la tasa de referencia. Ello se conjugaba con medidas como el congelamiento tarifario y los incentivos a la demanda. En relación con la política salarial</w:t>
      </w:r>
      <w:r>
        <w:rPr>
          <w:i/>
        </w:rPr>
        <w:t xml:space="preserve">, </w:t>
      </w:r>
      <w:r>
        <w:t>el año comenzó con la implementación de aumentos de suma fija de $4.000. Durante esos meses, la evolución de los precios reflejó cierta desaceleración respecto a los meses anteriores, aunque los precios de los alimentos se incrementaron por encima del nivel general.</w:t>
      </w:r>
    </w:p>
    <w:p w14:paraId="730F6A00" w14:textId="7ED0FD43" w:rsidR="005D56DD" w:rsidRDefault="00BC1B83" w:rsidP="005222B6">
      <w:pPr>
        <w:spacing w:before="240" w:after="240"/>
        <w:ind w:firstLine="700"/>
        <w:jc w:val="both"/>
      </w:pPr>
      <w:r>
        <w:t xml:space="preserve">En ese marco, el primer trimestre del año reflejó un descenso de la pobreza respecto al valor registrado hacia fines de 2019. Si bien habitualmente la pobreza desciende en los trimestres impares por el efecto estacional que implica el cobro del aguinaldo, en esta ocasión la reducción fue algo superior a la esperada, en tanto se redujo a 34,6% (-3,3 p.p. respecto al 4to trimestre). En cambio, la indigencia se mantuvo relativamente estancada, en un nivel del 8,6% </w:t>
      </w:r>
    </w:p>
    <w:p w14:paraId="3162686E" w14:textId="77777777" w:rsidR="005D56DD" w:rsidRDefault="00BC1B83">
      <w:pPr>
        <w:spacing w:before="240" w:after="240"/>
        <w:ind w:firstLine="700"/>
        <w:jc w:val="both"/>
      </w:pPr>
      <w:r>
        <w:t>Sin embargo, la irrupción de la pandemia y la necesidad de implementar el Aislamiento Social, Preventivo y Obligatorio, cambiaron completamente el escenario económico.  El PBI se contrajo un 16,3% en el segundo trimestre, al tiempo que el empleo cayó a su nivel más bajo desde el año 2002, lo cual se tradujo en una pérdida de 3,7 millones de ocupaciones respecto al primer trimestre. En ese marco, la pobreza se disparó: según puede inferirse en función de los resultados semestrales, en el segundo trimestre cayeron bajo la línea de la pobreza casi 5,8 millones de personas, acumulando un total de 21,4 millones de personas pobres, lo cual equivale a nada menos que el 47,2% de la población. Ello implicó un incremento de 12,6 puntos porcentuales respecto al trimestre anterior. Asimismo, la indigencia llegó al 12,4%, casi 4 p.p. más que en el trimestre anterior, lo cual se tradujo en que 1,7 millones de personas más cayeron bajo la línea de indigencia, sumando un total de 5,6 millones de personas que no llegan a cubrir sus necesidades alimentarias.</w:t>
      </w:r>
    </w:p>
    <w:p w14:paraId="274D0321" w14:textId="46CC0263" w:rsidR="005D56DD" w:rsidRDefault="00BC1B83">
      <w:pPr>
        <w:spacing w:before="240" w:after="240"/>
        <w:jc w:val="both"/>
      </w:pPr>
      <w:r>
        <w:t xml:space="preserve"> </w:t>
      </w:r>
    </w:p>
    <w:p w14:paraId="1B847007" w14:textId="42CA6AC6" w:rsidR="001A4A95" w:rsidRDefault="001A4A95">
      <w:pPr>
        <w:spacing w:before="240" w:after="240"/>
        <w:jc w:val="both"/>
      </w:pPr>
    </w:p>
    <w:p w14:paraId="6A6F0A8A" w14:textId="77777777" w:rsidR="001A4A95" w:rsidRDefault="001A4A95">
      <w:pPr>
        <w:spacing w:before="240" w:after="240"/>
        <w:jc w:val="both"/>
      </w:pPr>
    </w:p>
    <w:p w14:paraId="30C6E85B" w14:textId="39F834D3" w:rsidR="005222B6" w:rsidRDefault="00BC1B83" w:rsidP="005222B6">
      <w:pPr>
        <w:jc w:val="both"/>
        <w:rPr>
          <w:lang w:val="es-ES"/>
        </w:rPr>
      </w:pPr>
      <w:r>
        <w:t xml:space="preserve"> </w:t>
      </w:r>
      <w:r w:rsidR="005222B6">
        <w:t xml:space="preserve">Cuadro 7: </w:t>
      </w:r>
      <w:r w:rsidR="005222B6">
        <w:rPr>
          <w:lang w:val="es-ES"/>
        </w:rPr>
        <w:t>Evolución trimestral de la pobreza e indigencia. 2do trimestre 2020 vs 1er trimestre 2020</w:t>
      </w:r>
    </w:p>
    <w:tbl>
      <w:tblPr>
        <w:tblW w:w="7740" w:type="dxa"/>
        <w:jc w:val="center"/>
        <w:tblCellMar>
          <w:left w:w="70" w:type="dxa"/>
          <w:right w:w="70" w:type="dxa"/>
        </w:tblCellMar>
        <w:tblLook w:val="04A0" w:firstRow="1" w:lastRow="0" w:firstColumn="1" w:lastColumn="0" w:noHBand="0" w:noVBand="1"/>
      </w:tblPr>
      <w:tblGrid>
        <w:gridCol w:w="1740"/>
        <w:gridCol w:w="965"/>
        <w:gridCol w:w="1435"/>
        <w:gridCol w:w="1026"/>
        <w:gridCol w:w="1374"/>
        <w:gridCol w:w="1200"/>
      </w:tblGrid>
      <w:tr w:rsidR="005222B6" w:rsidRPr="00CA730C" w14:paraId="6894C41A" w14:textId="77777777" w:rsidTr="00BC1B83">
        <w:trPr>
          <w:trHeight w:val="300"/>
          <w:jc w:val="center"/>
        </w:trPr>
        <w:tc>
          <w:tcPr>
            <w:tcW w:w="1740" w:type="dxa"/>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59CCB084"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 </w:t>
            </w:r>
          </w:p>
        </w:tc>
        <w:tc>
          <w:tcPr>
            <w:tcW w:w="2400" w:type="dxa"/>
            <w:gridSpan w:val="2"/>
            <w:tcBorders>
              <w:top w:val="single" w:sz="4" w:space="0" w:color="auto"/>
              <w:left w:val="nil"/>
              <w:bottom w:val="single" w:sz="4" w:space="0" w:color="auto"/>
              <w:right w:val="single" w:sz="4" w:space="0" w:color="auto"/>
            </w:tcBorders>
            <w:shd w:val="clear" w:color="auto" w:fill="0070C0"/>
            <w:noWrap/>
            <w:vAlign w:val="center"/>
            <w:hideMark/>
          </w:tcPr>
          <w:p w14:paraId="1C9CA068"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Pobreza</w:t>
            </w:r>
          </w:p>
        </w:tc>
        <w:tc>
          <w:tcPr>
            <w:tcW w:w="2400" w:type="dxa"/>
            <w:gridSpan w:val="2"/>
            <w:tcBorders>
              <w:top w:val="single" w:sz="4" w:space="0" w:color="auto"/>
              <w:left w:val="nil"/>
              <w:bottom w:val="single" w:sz="4" w:space="0" w:color="auto"/>
              <w:right w:val="single" w:sz="4" w:space="0" w:color="auto"/>
            </w:tcBorders>
            <w:shd w:val="clear" w:color="000000" w:fill="0070C0"/>
            <w:noWrap/>
            <w:vAlign w:val="center"/>
            <w:hideMark/>
          </w:tcPr>
          <w:p w14:paraId="3FC27133"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Indigencia</w:t>
            </w:r>
          </w:p>
        </w:tc>
        <w:tc>
          <w:tcPr>
            <w:tcW w:w="1200" w:type="dxa"/>
            <w:tcBorders>
              <w:top w:val="single" w:sz="4" w:space="0" w:color="auto"/>
              <w:left w:val="nil"/>
              <w:bottom w:val="nil"/>
              <w:right w:val="single" w:sz="4" w:space="0" w:color="auto"/>
            </w:tcBorders>
            <w:shd w:val="clear" w:color="000000" w:fill="0070C0"/>
            <w:vAlign w:val="center"/>
            <w:hideMark/>
          </w:tcPr>
          <w:p w14:paraId="217D8CF1"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Población</w:t>
            </w:r>
          </w:p>
        </w:tc>
      </w:tr>
      <w:tr w:rsidR="005222B6" w:rsidRPr="00CA730C" w14:paraId="2F29FE30" w14:textId="77777777" w:rsidTr="00BC1B83">
        <w:trPr>
          <w:trHeight w:val="300"/>
          <w:jc w:val="center"/>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2E340F62" w14:textId="77777777" w:rsidR="005222B6" w:rsidRPr="00CA730C" w:rsidRDefault="005222B6" w:rsidP="00BC1B83">
            <w:pPr>
              <w:rPr>
                <w:rFonts w:ascii="Calibri" w:eastAsia="Times New Roman" w:hAnsi="Calibri" w:cs="Calibri"/>
                <w:b/>
                <w:bCs/>
                <w:color w:val="FFFFFF"/>
                <w:sz w:val="20"/>
                <w:szCs w:val="20"/>
              </w:rPr>
            </w:pPr>
          </w:p>
        </w:tc>
        <w:tc>
          <w:tcPr>
            <w:tcW w:w="965" w:type="dxa"/>
            <w:tcBorders>
              <w:top w:val="nil"/>
              <w:left w:val="nil"/>
              <w:bottom w:val="single" w:sz="4" w:space="0" w:color="auto"/>
              <w:right w:val="single" w:sz="4" w:space="0" w:color="auto"/>
            </w:tcBorders>
            <w:shd w:val="clear" w:color="000000" w:fill="0070C0"/>
            <w:noWrap/>
            <w:vAlign w:val="center"/>
            <w:hideMark/>
          </w:tcPr>
          <w:p w14:paraId="1E3EF8B2"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w:t>
            </w:r>
          </w:p>
        </w:tc>
        <w:tc>
          <w:tcPr>
            <w:tcW w:w="1435" w:type="dxa"/>
            <w:tcBorders>
              <w:top w:val="nil"/>
              <w:left w:val="nil"/>
              <w:bottom w:val="single" w:sz="4" w:space="0" w:color="auto"/>
              <w:right w:val="single" w:sz="4" w:space="0" w:color="auto"/>
            </w:tcBorders>
            <w:shd w:val="clear" w:color="000000" w:fill="0070C0"/>
            <w:noWrap/>
            <w:vAlign w:val="center"/>
            <w:hideMark/>
          </w:tcPr>
          <w:p w14:paraId="70D79330"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Población</w:t>
            </w:r>
          </w:p>
        </w:tc>
        <w:tc>
          <w:tcPr>
            <w:tcW w:w="1026" w:type="dxa"/>
            <w:tcBorders>
              <w:top w:val="nil"/>
              <w:left w:val="nil"/>
              <w:bottom w:val="single" w:sz="4" w:space="0" w:color="auto"/>
              <w:right w:val="single" w:sz="4" w:space="0" w:color="auto"/>
            </w:tcBorders>
            <w:shd w:val="clear" w:color="000000" w:fill="0070C0"/>
            <w:noWrap/>
            <w:vAlign w:val="center"/>
            <w:hideMark/>
          </w:tcPr>
          <w:p w14:paraId="19368011"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 xml:space="preserve">% </w:t>
            </w:r>
          </w:p>
        </w:tc>
        <w:tc>
          <w:tcPr>
            <w:tcW w:w="1374" w:type="dxa"/>
            <w:tcBorders>
              <w:top w:val="nil"/>
              <w:left w:val="nil"/>
              <w:bottom w:val="single" w:sz="4" w:space="0" w:color="auto"/>
              <w:right w:val="single" w:sz="4" w:space="0" w:color="auto"/>
            </w:tcBorders>
            <w:shd w:val="clear" w:color="000000" w:fill="0070C0"/>
            <w:noWrap/>
            <w:vAlign w:val="center"/>
            <w:hideMark/>
          </w:tcPr>
          <w:p w14:paraId="5ADBC7BE"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Población</w:t>
            </w:r>
          </w:p>
        </w:tc>
        <w:tc>
          <w:tcPr>
            <w:tcW w:w="1200" w:type="dxa"/>
            <w:tcBorders>
              <w:top w:val="nil"/>
              <w:left w:val="nil"/>
              <w:bottom w:val="single" w:sz="4" w:space="0" w:color="auto"/>
              <w:right w:val="single" w:sz="4" w:space="0" w:color="auto"/>
            </w:tcBorders>
            <w:shd w:val="clear" w:color="000000" w:fill="0070C0"/>
            <w:vAlign w:val="center"/>
            <w:hideMark/>
          </w:tcPr>
          <w:p w14:paraId="3C8AAD60"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Total</w:t>
            </w:r>
          </w:p>
        </w:tc>
      </w:tr>
      <w:tr w:rsidR="005222B6" w:rsidRPr="00CA730C" w14:paraId="584A7C22" w14:textId="77777777" w:rsidTr="00BC1B83">
        <w:trPr>
          <w:trHeight w:val="30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790947C2"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1º Trimestre 2020</w:t>
            </w:r>
          </w:p>
        </w:tc>
        <w:tc>
          <w:tcPr>
            <w:tcW w:w="965" w:type="dxa"/>
            <w:tcBorders>
              <w:top w:val="nil"/>
              <w:left w:val="nil"/>
              <w:bottom w:val="single" w:sz="4" w:space="0" w:color="auto"/>
              <w:right w:val="single" w:sz="4" w:space="0" w:color="auto"/>
            </w:tcBorders>
            <w:shd w:val="clear" w:color="auto" w:fill="auto"/>
            <w:noWrap/>
            <w:vAlign w:val="center"/>
            <w:hideMark/>
          </w:tcPr>
          <w:p w14:paraId="7412D2E3"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34,6%</w:t>
            </w:r>
          </w:p>
        </w:tc>
        <w:tc>
          <w:tcPr>
            <w:tcW w:w="1435" w:type="dxa"/>
            <w:tcBorders>
              <w:top w:val="nil"/>
              <w:left w:val="nil"/>
              <w:bottom w:val="single" w:sz="4" w:space="0" w:color="auto"/>
              <w:right w:val="single" w:sz="4" w:space="0" w:color="auto"/>
            </w:tcBorders>
            <w:shd w:val="clear" w:color="auto" w:fill="auto"/>
            <w:noWrap/>
            <w:vAlign w:val="center"/>
            <w:hideMark/>
          </w:tcPr>
          <w:p w14:paraId="11314095"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15.653.610</w:t>
            </w:r>
          </w:p>
        </w:tc>
        <w:tc>
          <w:tcPr>
            <w:tcW w:w="1026" w:type="dxa"/>
            <w:tcBorders>
              <w:top w:val="nil"/>
              <w:left w:val="nil"/>
              <w:bottom w:val="single" w:sz="4" w:space="0" w:color="auto"/>
              <w:right w:val="single" w:sz="4" w:space="0" w:color="auto"/>
            </w:tcBorders>
            <w:shd w:val="clear" w:color="auto" w:fill="auto"/>
            <w:noWrap/>
            <w:vAlign w:val="center"/>
            <w:hideMark/>
          </w:tcPr>
          <w:p w14:paraId="2987602F"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8,6%</w:t>
            </w:r>
          </w:p>
        </w:tc>
        <w:tc>
          <w:tcPr>
            <w:tcW w:w="1374" w:type="dxa"/>
            <w:tcBorders>
              <w:top w:val="nil"/>
              <w:left w:val="nil"/>
              <w:bottom w:val="single" w:sz="4" w:space="0" w:color="auto"/>
              <w:right w:val="single" w:sz="4" w:space="0" w:color="auto"/>
            </w:tcBorders>
            <w:shd w:val="clear" w:color="auto" w:fill="auto"/>
            <w:noWrap/>
            <w:vAlign w:val="center"/>
            <w:hideMark/>
          </w:tcPr>
          <w:p w14:paraId="4981AC90"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3.887.988</w:t>
            </w:r>
          </w:p>
        </w:tc>
        <w:tc>
          <w:tcPr>
            <w:tcW w:w="1200" w:type="dxa"/>
            <w:tcBorders>
              <w:top w:val="nil"/>
              <w:left w:val="nil"/>
              <w:bottom w:val="single" w:sz="4" w:space="0" w:color="auto"/>
              <w:right w:val="single" w:sz="4" w:space="0" w:color="auto"/>
            </w:tcBorders>
            <w:shd w:val="clear" w:color="auto" w:fill="auto"/>
            <w:noWrap/>
            <w:vAlign w:val="center"/>
            <w:hideMark/>
          </w:tcPr>
          <w:p w14:paraId="0EC5E0B7"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45.267.250</w:t>
            </w:r>
          </w:p>
        </w:tc>
      </w:tr>
      <w:tr w:rsidR="005222B6" w:rsidRPr="00CA730C" w14:paraId="5C3624A0" w14:textId="77777777" w:rsidTr="00BC1B83">
        <w:trPr>
          <w:trHeight w:val="30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3C891246"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2º Trimestre 2020</w:t>
            </w:r>
          </w:p>
        </w:tc>
        <w:tc>
          <w:tcPr>
            <w:tcW w:w="965" w:type="dxa"/>
            <w:tcBorders>
              <w:top w:val="nil"/>
              <w:left w:val="nil"/>
              <w:bottom w:val="single" w:sz="4" w:space="0" w:color="auto"/>
              <w:right w:val="single" w:sz="4" w:space="0" w:color="auto"/>
            </w:tcBorders>
            <w:shd w:val="clear" w:color="auto" w:fill="auto"/>
            <w:noWrap/>
            <w:vAlign w:val="center"/>
            <w:hideMark/>
          </w:tcPr>
          <w:p w14:paraId="718ECCD0"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47,2%</w:t>
            </w:r>
          </w:p>
        </w:tc>
        <w:tc>
          <w:tcPr>
            <w:tcW w:w="1435" w:type="dxa"/>
            <w:tcBorders>
              <w:top w:val="nil"/>
              <w:left w:val="nil"/>
              <w:bottom w:val="single" w:sz="4" w:space="0" w:color="auto"/>
              <w:right w:val="single" w:sz="4" w:space="0" w:color="auto"/>
            </w:tcBorders>
            <w:shd w:val="clear" w:color="auto" w:fill="auto"/>
            <w:noWrap/>
            <w:vAlign w:val="center"/>
            <w:hideMark/>
          </w:tcPr>
          <w:p w14:paraId="0E54290C"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21.417.832</w:t>
            </w:r>
          </w:p>
        </w:tc>
        <w:tc>
          <w:tcPr>
            <w:tcW w:w="1026" w:type="dxa"/>
            <w:tcBorders>
              <w:top w:val="nil"/>
              <w:left w:val="nil"/>
              <w:bottom w:val="single" w:sz="4" w:space="0" w:color="auto"/>
              <w:right w:val="single" w:sz="4" w:space="0" w:color="auto"/>
            </w:tcBorders>
            <w:shd w:val="clear" w:color="auto" w:fill="auto"/>
            <w:noWrap/>
            <w:vAlign w:val="center"/>
            <w:hideMark/>
          </w:tcPr>
          <w:p w14:paraId="4DB770F9"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12,4%</w:t>
            </w:r>
          </w:p>
        </w:tc>
        <w:tc>
          <w:tcPr>
            <w:tcW w:w="1374" w:type="dxa"/>
            <w:tcBorders>
              <w:top w:val="nil"/>
              <w:left w:val="nil"/>
              <w:bottom w:val="single" w:sz="4" w:space="0" w:color="auto"/>
              <w:right w:val="single" w:sz="4" w:space="0" w:color="auto"/>
            </w:tcBorders>
            <w:shd w:val="clear" w:color="auto" w:fill="auto"/>
            <w:noWrap/>
            <w:vAlign w:val="center"/>
            <w:hideMark/>
          </w:tcPr>
          <w:p w14:paraId="1175E277"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5.626.719</w:t>
            </w:r>
          </w:p>
        </w:tc>
        <w:tc>
          <w:tcPr>
            <w:tcW w:w="1200" w:type="dxa"/>
            <w:tcBorders>
              <w:top w:val="nil"/>
              <w:left w:val="nil"/>
              <w:bottom w:val="single" w:sz="4" w:space="0" w:color="auto"/>
              <w:right w:val="single" w:sz="4" w:space="0" w:color="auto"/>
            </w:tcBorders>
            <w:shd w:val="clear" w:color="auto" w:fill="auto"/>
            <w:noWrap/>
            <w:vAlign w:val="center"/>
            <w:hideMark/>
          </w:tcPr>
          <w:p w14:paraId="727DB92F"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45.376.763</w:t>
            </w:r>
          </w:p>
        </w:tc>
      </w:tr>
      <w:tr w:rsidR="005222B6" w:rsidRPr="00CA730C" w14:paraId="6F4A9C10" w14:textId="77777777" w:rsidTr="00BC1B83">
        <w:trPr>
          <w:trHeight w:val="300"/>
          <w:jc w:val="center"/>
        </w:trPr>
        <w:tc>
          <w:tcPr>
            <w:tcW w:w="17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4280557" w14:textId="77777777" w:rsidR="005222B6" w:rsidRPr="00CA730C" w:rsidRDefault="005222B6" w:rsidP="00BC1B83">
            <w:pPr>
              <w:jc w:val="center"/>
              <w:rPr>
                <w:rFonts w:ascii="Calibri" w:eastAsia="Times New Roman" w:hAnsi="Calibri" w:cs="Calibri"/>
                <w:b/>
                <w:bCs/>
                <w:color w:val="000000"/>
                <w:sz w:val="20"/>
                <w:szCs w:val="20"/>
              </w:rPr>
            </w:pPr>
            <w:r w:rsidRPr="00CA730C">
              <w:rPr>
                <w:rFonts w:ascii="Calibri" w:eastAsia="Times New Roman" w:hAnsi="Calibri" w:cs="Calibri"/>
                <w:b/>
                <w:bCs/>
                <w:color w:val="000000"/>
                <w:sz w:val="20"/>
                <w:szCs w:val="20"/>
              </w:rPr>
              <w:t>Variación</w:t>
            </w:r>
          </w:p>
        </w:tc>
        <w:tc>
          <w:tcPr>
            <w:tcW w:w="96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E618DB5" w14:textId="77777777" w:rsidR="005222B6" w:rsidRPr="00CA730C" w:rsidRDefault="005222B6" w:rsidP="00BC1B83">
            <w:pPr>
              <w:jc w:val="center"/>
              <w:rPr>
                <w:rFonts w:ascii="Calibri" w:eastAsia="Times New Roman" w:hAnsi="Calibri" w:cs="Calibri"/>
                <w:b/>
                <w:bCs/>
                <w:color w:val="000000"/>
                <w:sz w:val="20"/>
                <w:szCs w:val="20"/>
              </w:rPr>
            </w:pPr>
            <w:r w:rsidRPr="00CA730C">
              <w:rPr>
                <w:rFonts w:ascii="Calibri" w:eastAsia="Times New Roman" w:hAnsi="Calibri" w:cs="Calibri"/>
                <w:b/>
                <w:bCs/>
                <w:color w:val="000000"/>
                <w:sz w:val="20"/>
                <w:szCs w:val="20"/>
              </w:rPr>
              <w:t>36,4%</w:t>
            </w:r>
          </w:p>
        </w:tc>
        <w:tc>
          <w:tcPr>
            <w:tcW w:w="14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F862DF2" w14:textId="77777777" w:rsidR="005222B6" w:rsidRPr="00CA730C" w:rsidRDefault="005222B6" w:rsidP="00BC1B83">
            <w:pPr>
              <w:jc w:val="center"/>
              <w:rPr>
                <w:rFonts w:ascii="Calibri" w:eastAsia="Times New Roman" w:hAnsi="Calibri" w:cs="Calibri"/>
                <w:b/>
                <w:bCs/>
                <w:color w:val="000000"/>
                <w:sz w:val="20"/>
                <w:szCs w:val="20"/>
              </w:rPr>
            </w:pPr>
            <w:r w:rsidRPr="00CA730C">
              <w:rPr>
                <w:rFonts w:ascii="Calibri" w:eastAsia="Times New Roman" w:hAnsi="Calibri" w:cs="Calibri"/>
                <w:b/>
                <w:bCs/>
                <w:color w:val="000000"/>
                <w:sz w:val="20"/>
                <w:szCs w:val="20"/>
              </w:rPr>
              <w:t>5.764.222</w:t>
            </w:r>
          </w:p>
        </w:tc>
        <w:tc>
          <w:tcPr>
            <w:tcW w:w="102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99D8AEA" w14:textId="77777777" w:rsidR="005222B6" w:rsidRPr="00CA730C" w:rsidRDefault="005222B6" w:rsidP="00BC1B83">
            <w:pPr>
              <w:jc w:val="center"/>
              <w:rPr>
                <w:rFonts w:ascii="Calibri" w:eastAsia="Times New Roman" w:hAnsi="Calibri" w:cs="Calibri"/>
                <w:b/>
                <w:bCs/>
                <w:color w:val="000000"/>
                <w:sz w:val="20"/>
                <w:szCs w:val="20"/>
              </w:rPr>
            </w:pPr>
            <w:r w:rsidRPr="00CA730C">
              <w:rPr>
                <w:rFonts w:ascii="Calibri" w:eastAsia="Times New Roman" w:hAnsi="Calibri" w:cs="Calibri"/>
                <w:b/>
                <w:bCs/>
                <w:color w:val="000000"/>
                <w:sz w:val="20"/>
                <w:szCs w:val="20"/>
              </w:rPr>
              <w:t>44,</w:t>
            </w:r>
            <w:r>
              <w:rPr>
                <w:rFonts w:ascii="Calibri" w:eastAsia="Times New Roman" w:hAnsi="Calibri" w:cs="Calibri"/>
                <w:b/>
                <w:bCs/>
                <w:color w:val="000000"/>
                <w:sz w:val="20"/>
                <w:szCs w:val="20"/>
              </w:rPr>
              <w:t>2</w:t>
            </w:r>
            <w:r w:rsidRPr="00CA730C">
              <w:rPr>
                <w:rFonts w:ascii="Calibri" w:eastAsia="Times New Roman" w:hAnsi="Calibri" w:cs="Calibri"/>
                <w:b/>
                <w:bCs/>
                <w:color w:val="000000"/>
                <w:sz w:val="20"/>
                <w:szCs w:val="20"/>
              </w:rPr>
              <w:t>%</w:t>
            </w:r>
          </w:p>
        </w:tc>
        <w:tc>
          <w:tcPr>
            <w:tcW w:w="137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BE6D8FE" w14:textId="77777777" w:rsidR="005222B6" w:rsidRPr="00CA730C" w:rsidRDefault="005222B6" w:rsidP="00BC1B83">
            <w:pPr>
              <w:jc w:val="center"/>
              <w:rPr>
                <w:rFonts w:ascii="Calibri" w:eastAsia="Times New Roman" w:hAnsi="Calibri" w:cs="Calibri"/>
                <w:b/>
                <w:bCs/>
                <w:color w:val="000000"/>
                <w:sz w:val="20"/>
                <w:szCs w:val="20"/>
              </w:rPr>
            </w:pPr>
            <w:r w:rsidRPr="00CA730C">
              <w:rPr>
                <w:rFonts w:ascii="Calibri" w:eastAsia="Times New Roman" w:hAnsi="Calibri" w:cs="Calibri"/>
                <w:b/>
                <w:bCs/>
                <w:color w:val="000000"/>
                <w:sz w:val="20"/>
                <w:szCs w:val="20"/>
              </w:rPr>
              <w:t>1.738.731</w:t>
            </w:r>
          </w:p>
        </w:tc>
        <w:tc>
          <w:tcPr>
            <w:tcW w:w="12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21F8BFF" w14:textId="77777777" w:rsidR="005222B6" w:rsidRPr="00CA730C" w:rsidRDefault="005222B6" w:rsidP="00BC1B83">
            <w:pPr>
              <w:jc w:val="center"/>
              <w:rPr>
                <w:rFonts w:ascii="Calibri" w:eastAsia="Times New Roman" w:hAnsi="Calibri" w:cs="Calibri"/>
                <w:b/>
                <w:bCs/>
                <w:color w:val="000000"/>
                <w:sz w:val="20"/>
                <w:szCs w:val="20"/>
              </w:rPr>
            </w:pPr>
            <w:r w:rsidRPr="00CA730C">
              <w:rPr>
                <w:rFonts w:ascii="Calibri" w:eastAsia="Times New Roman" w:hAnsi="Calibri" w:cs="Calibri"/>
                <w:b/>
                <w:bCs/>
                <w:color w:val="000000"/>
                <w:sz w:val="20"/>
                <w:szCs w:val="20"/>
              </w:rPr>
              <w:t>109.513</w:t>
            </w:r>
          </w:p>
        </w:tc>
      </w:tr>
    </w:tbl>
    <w:p w14:paraId="507DC12F" w14:textId="0F5DA8CB" w:rsidR="005D56DD" w:rsidRPr="005222B6" w:rsidRDefault="005222B6" w:rsidP="005222B6">
      <w:pPr>
        <w:spacing w:before="240" w:after="240"/>
        <w:jc w:val="center"/>
        <w:rPr>
          <w:sz w:val="20"/>
          <w:szCs w:val="20"/>
        </w:rPr>
      </w:pPr>
      <w:r w:rsidRPr="005222B6">
        <w:rPr>
          <w:sz w:val="20"/>
          <w:szCs w:val="20"/>
        </w:rPr>
        <w:t>Fuente: Elaboración propia en base a datos EPH-INDEC</w:t>
      </w:r>
    </w:p>
    <w:p w14:paraId="6EF2D712" w14:textId="45BA2236" w:rsidR="005D56DD" w:rsidRDefault="005D56DD">
      <w:pPr>
        <w:spacing w:before="240" w:after="240"/>
        <w:jc w:val="both"/>
      </w:pPr>
    </w:p>
    <w:p w14:paraId="7531C918" w14:textId="3290E54F" w:rsidR="005D56DD" w:rsidRDefault="00BC1B83">
      <w:pPr>
        <w:spacing w:before="240" w:after="240"/>
        <w:jc w:val="both"/>
      </w:pPr>
      <w:r>
        <w:t>Considerando el conjunto del período semestral, los niveles de pobreza e indigencia promedio correspondiente al primer semestre de 2020, expresan un grave escenario social en el cual el 40,9% de la población se encuentra en situación de pobreza y el 10,5% en situación de indigencia. Ello implica que la primera mitad del año promedió 18,5 millones de personas cuyos</w:t>
      </w:r>
      <w:r w:rsidR="005222B6">
        <w:t xml:space="preserve"> </w:t>
      </w:r>
      <w:r>
        <w:t>ingresos estaban por debajo de la línea de pobreza y casi 4,8 millones de personas que no lograban adquirir los alimentos necesarios para su subsistencia. El hecho de que la indigencia haya llegado a los dos dígitos y que la pobreza semestral supere el 40% no ocurría desde el año 2006.</w:t>
      </w:r>
    </w:p>
    <w:p w14:paraId="2E383324" w14:textId="77777777" w:rsidR="005222B6" w:rsidRDefault="005222B6" w:rsidP="005222B6">
      <w:pPr>
        <w:jc w:val="both"/>
      </w:pPr>
    </w:p>
    <w:p w14:paraId="2662888E" w14:textId="75B7B2F7" w:rsidR="005222B6" w:rsidRPr="005222B6" w:rsidRDefault="005222B6" w:rsidP="005222B6">
      <w:pPr>
        <w:jc w:val="both"/>
        <w:rPr>
          <w:lang w:val="es-ES"/>
        </w:rPr>
      </w:pPr>
      <w:r>
        <w:t xml:space="preserve">Cuadro 8: </w:t>
      </w:r>
      <w:r>
        <w:rPr>
          <w:lang w:val="es-ES"/>
        </w:rPr>
        <w:t>Niveles de la pobreza e indigencia. 1er semestre 2020.</w:t>
      </w: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5222B6" w:rsidRPr="00CA730C" w14:paraId="7D7EE94E" w14:textId="77777777" w:rsidTr="00BC1B8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D1D6862" w14:textId="77777777" w:rsidR="005222B6" w:rsidRPr="00CA730C" w:rsidRDefault="005222B6" w:rsidP="00BC1B83">
            <w:pPr>
              <w:rPr>
                <w:rFonts w:ascii="Calibri" w:eastAsia="Times New Roman" w:hAnsi="Calibri" w:cs="Calibri"/>
                <w:color w:val="FFFFFF"/>
                <w:sz w:val="20"/>
                <w:szCs w:val="20"/>
              </w:rPr>
            </w:pPr>
            <w:r w:rsidRPr="00CA730C">
              <w:rPr>
                <w:rFonts w:ascii="Calibri" w:eastAsia="Times New Roman" w:hAnsi="Calibri" w:cs="Calibri"/>
                <w:color w:val="FFFFFF"/>
                <w:sz w:val="20"/>
                <w:szCs w:val="20"/>
              </w:rPr>
              <w:t> </w:t>
            </w:r>
          </w:p>
        </w:tc>
        <w:tc>
          <w:tcPr>
            <w:tcW w:w="1200" w:type="dxa"/>
            <w:tcBorders>
              <w:top w:val="single" w:sz="4" w:space="0" w:color="auto"/>
              <w:left w:val="nil"/>
              <w:bottom w:val="single" w:sz="4" w:space="0" w:color="auto"/>
              <w:right w:val="single" w:sz="4" w:space="0" w:color="auto"/>
            </w:tcBorders>
            <w:shd w:val="clear" w:color="000000" w:fill="0070C0"/>
            <w:noWrap/>
            <w:vAlign w:val="center"/>
            <w:hideMark/>
          </w:tcPr>
          <w:p w14:paraId="5C3A454D"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Tasa</w:t>
            </w:r>
          </w:p>
        </w:tc>
        <w:tc>
          <w:tcPr>
            <w:tcW w:w="1200" w:type="dxa"/>
            <w:tcBorders>
              <w:top w:val="single" w:sz="4" w:space="0" w:color="auto"/>
              <w:left w:val="nil"/>
              <w:bottom w:val="single" w:sz="4" w:space="0" w:color="auto"/>
              <w:right w:val="single" w:sz="4" w:space="0" w:color="auto"/>
            </w:tcBorders>
            <w:shd w:val="clear" w:color="000000" w:fill="0070C0"/>
            <w:noWrap/>
            <w:vAlign w:val="center"/>
            <w:hideMark/>
          </w:tcPr>
          <w:p w14:paraId="428182AC" w14:textId="77777777" w:rsidR="005222B6" w:rsidRPr="00CA730C" w:rsidRDefault="005222B6" w:rsidP="00BC1B83">
            <w:pPr>
              <w:jc w:val="center"/>
              <w:rPr>
                <w:rFonts w:ascii="Calibri" w:eastAsia="Times New Roman" w:hAnsi="Calibri" w:cs="Calibri"/>
                <w:b/>
                <w:bCs/>
                <w:color w:val="FFFFFF"/>
                <w:sz w:val="20"/>
                <w:szCs w:val="20"/>
              </w:rPr>
            </w:pPr>
            <w:r w:rsidRPr="00CA730C">
              <w:rPr>
                <w:rFonts w:ascii="Calibri" w:eastAsia="Times New Roman" w:hAnsi="Calibri" w:cs="Calibri"/>
                <w:b/>
                <w:bCs/>
                <w:color w:val="FFFFFF"/>
                <w:sz w:val="20"/>
                <w:szCs w:val="20"/>
              </w:rPr>
              <w:t>Población (*)</w:t>
            </w:r>
          </w:p>
        </w:tc>
      </w:tr>
      <w:tr w:rsidR="005222B6" w:rsidRPr="00CA730C" w14:paraId="64D1070A" w14:textId="77777777" w:rsidTr="00BC1B83">
        <w:trPr>
          <w:trHeight w:val="300"/>
          <w:jc w:val="center"/>
        </w:trPr>
        <w:tc>
          <w:tcPr>
            <w:tcW w:w="1200" w:type="dxa"/>
            <w:tcBorders>
              <w:top w:val="nil"/>
              <w:left w:val="single" w:sz="4" w:space="0" w:color="auto"/>
              <w:bottom w:val="single" w:sz="4" w:space="0" w:color="auto"/>
              <w:right w:val="single" w:sz="4" w:space="0" w:color="auto"/>
            </w:tcBorders>
            <w:shd w:val="clear" w:color="000000" w:fill="0070C0"/>
            <w:noWrap/>
            <w:vAlign w:val="center"/>
            <w:hideMark/>
          </w:tcPr>
          <w:p w14:paraId="08C959F6" w14:textId="77777777" w:rsidR="005222B6" w:rsidRPr="00CA730C" w:rsidRDefault="005222B6" w:rsidP="00BC1B83">
            <w:pPr>
              <w:jc w:val="center"/>
              <w:rPr>
                <w:rFonts w:ascii="Calibri" w:eastAsia="Times New Roman" w:hAnsi="Calibri" w:cs="Calibri"/>
                <w:color w:val="FFFFFF"/>
                <w:sz w:val="20"/>
                <w:szCs w:val="20"/>
              </w:rPr>
            </w:pPr>
            <w:r w:rsidRPr="00CA730C">
              <w:rPr>
                <w:rFonts w:ascii="Calibri" w:eastAsia="Times New Roman" w:hAnsi="Calibri" w:cs="Calibri"/>
                <w:color w:val="FFFFFF"/>
                <w:sz w:val="20"/>
                <w:szCs w:val="20"/>
              </w:rPr>
              <w:t>Pobreza</w:t>
            </w:r>
          </w:p>
        </w:tc>
        <w:tc>
          <w:tcPr>
            <w:tcW w:w="1200" w:type="dxa"/>
            <w:tcBorders>
              <w:top w:val="nil"/>
              <w:left w:val="nil"/>
              <w:bottom w:val="single" w:sz="4" w:space="0" w:color="auto"/>
              <w:right w:val="single" w:sz="4" w:space="0" w:color="auto"/>
            </w:tcBorders>
            <w:shd w:val="clear" w:color="auto" w:fill="auto"/>
            <w:noWrap/>
            <w:vAlign w:val="center"/>
            <w:hideMark/>
          </w:tcPr>
          <w:p w14:paraId="2F8CF953"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40,9%</w:t>
            </w:r>
          </w:p>
        </w:tc>
        <w:tc>
          <w:tcPr>
            <w:tcW w:w="1200" w:type="dxa"/>
            <w:tcBorders>
              <w:top w:val="nil"/>
              <w:left w:val="nil"/>
              <w:bottom w:val="single" w:sz="4" w:space="0" w:color="auto"/>
              <w:right w:val="single" w:sz="4" w:space="0" w:color="auto"/>
            </w:tcBorders>
            <w:shd w:val="clear" w:color="auto" w:fill="auto"/>
            <w:noWrap/>
            <w:vAlign w:val="center"/>
            <w:hideMark/>
          </w:tcPr>
          <w:p w14:paraId="4E45BF84"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18.536.701</w:t>
            </w:r>
          </w:p>
        </w:tc>
      </w:tr>
      <w:tr w:rsidR="005222B6" w:rsidRPr="00CA730C" w14:paraId="55A0227F" w14:textId="77777777" w:rsidTr="00BC1B83">
        <w:trPr>
          <w:trHeight w:val="300"/>
          <w:jc w:val="center"/>
        </w:trPr>
        <w:tc>
          <w:tcPr>
            <w:tcW w:w="1200" w:type="dxa"/>
            <w:tcBorders>
              <w:top w:val="nil"/>
              <w:left w:val="single" w:sz="4" w:space="0" w:color="auto"/>
              <w:bottom w:val="single" w:sz="4" w:space="0" w:color="auto"/>
              <w:right w:val="single" w:sz="4" w:space="0" w:color="auto"/>
            </w:tcBorders>
            <w:shd w:val="clear" w:color="000000" w:fill="0070C0"/>
            <w:noWrap/>
            <w:vAlign w:val="center"/>
            <w:hideMark/>
          </w:tcPr>
          <w:p w14:paraId="4207ED8A" w14:textId="77777777" w:rsidR="005222B6" w:rsidRPr="00CA730C" w:rsidRDefault="005222B6" w:rsidP="00BC1B83">
            <w:pPr>
              <w:jc w:val="center"/>
              <w:rPr>
                <w:rFonts w:ascii="Calibri" w:eastAsia="Times New Roman" w:hAnsi="Calibri" w:cs="Calibri"/>
                <w:color w:val="FFFFFF"/>
                <w:sz w:val="20"/>
                <w:szCs w:val="20"/>
              </w:rPr>
            </w:pPr>
            <w:r w:rsidRPr="00CA730C">
              <w:rPr>
                <w:rFonts w:ascii="Calibri" w:eastAsia="Times New Roman" w:hAnsi="Calibri" w:cs="Calibri"/>
                <w:color w:val="FFFFFF"/>
                <w:sz w:val="20"/>
                <w:szCs w:val="20"/>
              </w:rPr>
              <w:t>Indigencia</w:t>
            </w:r>
          </w:p>
        </w:tc>
        <w:tc>
          <w:tcPr>
            <w:tcW w:w="1200" w:type="dxa"/>
            <w:tcBorders>
              <w:top w:val="nil"/>
              <w:left w:val="nil"/>
              <w:bottom w:val="single" w:sz="4" w:space="0" w:color="auto"/>
              <w:right w:val="single" w:sz="4" w:space="0" w:color="auto"/>
            </w:tcBorders>
            <w:shd w:val="clear" w:color="auto" w:fill="auto"/>
            <w:noWrap/>
            <w:vAlign w:val="center"/>
            <w:hideMark/>
          </w:tcPr>
          <w:p w14:paraId="453097FB"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744351A5" w14:textId="77777777" w:rsidR="005222B6" w:rsidRPr="00CA730C" w:rsidRDefault="005222B6" w:rsidP="00BC1B83">
            <w:pPr>
              <w:jc w:val="center"/>
              <w:rPr>
                <w:rFonts w:ascii="Calibri" w:eastAsia="Times New Roman" w:hAnsi="Calibri" w:cs="Calibri"/>
                <w:color w:val="000000"/>
                <w:sz w:val="20"/>
                <w:szCs w:val="20"/>
              </w:rPr>
            </w:pPr>
            <w:r w:rsidRPr="00CA730C">
              <w:rPr>
                <w:rFonts w:ascii="Calibri" w:eastAsia="Times New Roman" w:hAnsi="Calibri" w:cs="Calibri"/>
                <w:color w:val="000000"/>
                <w:sz w:val="20"/>
                <w:szCs w:val="20"/>
              </w:rPr>
              <w:t>4.758.811</w:t>
            </w:r>
          </w:p>
        </w:tc>
      </w:tr>
      <w:tr w:rsidR="005222B6" w:rsidRPr="00CA730C" w14:paraId="4F4C4E3B" w14:textId="77777777" w:rsidTr="00BC1B83">
        <w:trPr>
          <w:trHeight w:val="300"/>
          <w:jc w:val="center"/>
        </w:trPr>
        <w:tc>
          <w:tcPr>
            <w:tcW w:w="1200" w:type="dxa"/>
            <w:tcBorders>
              <w:top w:val="nil"/>
              <w:left w:val="single" w:sz="4" w:space="0" w:color="auto"/>
              <w:bottom w:val="single" w:sz="4" w:space="0" w:color="auto"/>
              <w:right w:val="single" w:sz="4" w:space="0" w:color="auto"/>
            </w:tcBorders>
            <w:shd w:val="clear" w:color="000000" w:fill="0070C0"/>
            <w:noWrap/>
            <w:vAlign w:val="center"/>
            <w:hideMark/>
          </w:tcPr>
          <w:p w14:paraId="7B585034" w14:textId="77777777" w:rsidR="005222B6" w:rsidRPr="00CA730C" w:rsidRDefault="005222B6" w:rsidP="00BC1B83">
            <w:pPr>
              <w:jc w:val="center"/>
              <w:rPr>
                <w:rFonts w:ascii="Calibri" w:eastAsia="Times New Roman" w:hAnsi="Calibri" w:cs="Calibri"/>
                <w:color w:val="FFFFFF"/>
                <w:sz w:val="20"/>
                <w:szCs w:val="20"/>
              </w:rPr>
            </w:pPr>
            <w:r w:rsidRPr="00CA730C">
              <w:rPr>
                <w:rFonts w:ascii="Calibri" w:eastAsia="Times New Roman" w:hAnsi="Calibri" w:cs="Calibri"/>
                <w:color w:val="FFFFFF"/>
                <w:sz w:val="20"/>
                <w:szCs w:val="20"/>
              </w:rPr>
              <w:t>Total</w:t>
            </w:r>
          </w:p>
        </w:tc>
        <w:tc>
          <w:tcPr>
            <w:tcW w:w="1200" w:type="dxa"/>
            <w:tcBorders>
              <w:top w:val="nil"/>
              <w:left w:val="nil"/>
              <w:bottom w:val="single" w:sz="4" w:space="0" w:color="auto"/>
              <w:right w:val="single" w:sz="4" w:space="0" w:color="auto"/>
            </w:tcBorders>
            <w:shd w:val="clear" w:color="auto" w:fill="auto"/>
            <w:noWrap/>
            <w:vAlign w:val="center"/>
            <w:hideMark/>
          </w:tcPr>
          <w:p w14:paraId="0609D494" w14:textId="77777777" w:rsidR="005222B6" w:rsidRPr="00CA730C" w:rsidRDefault="005222B6" w:rsidP="00BC1B83">
            <w:pPr>
              <w:jc w:val="center"/>
              <w:rPr>
                <w:rFonts w:ascii="Calibri" w:eastAsia="Times New Roman" w:hAnsi="Calibri" w:cs="Calibri"/>
                <w:b/>
                <w:bCs/>
                <w:color w:val="000000"/>
                <w:sz w:val="20"/>
                <w:szCs w:val="20"/>
              </w:rPr>
            </w:pPr>
            <w:r w:rsidRPr="00CA730C">
              <w:rPr>
                <w:rFonts w:ascii="Calibri" w:eastAsia="Times New Roman" w:hAnsi="Calibri" w:cs="Calibri"/>
                <w:b/>
                <w:bCs/>
                <w:color w:val="000000"/>
                <w:sz w:val="20"/>
                <w:szCs w:val="20"/>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422CE4A4" w14:textId="77777777" w:rsidR="005222B6" w:rsidRPr="00CA730C" w:rsidRDefault="005222B6" w:rsidP="00BC1B83">
            <w:pPr>
              <w:jc w:val="center"/>
              <w:rPr>
                <w:rFonts w:ascii="Calibri" w:eastAsia="Times New Roman" w:hAnsi="Calibri" w:cs="Calibri"/>
                <w:b/>
                <w:bCs/>
                <w:color w:val="000000"/>
                <w:sz w:val="20"/>
                <w:szCs w:val="20"/>
              </w:rPr>
            </w:pPr>
            <w:r w:rsidRPr="00CA730C">
              <w:rPr>
                <w:rFonts w:ascii="Calibri" w:eastAsia="Times New Roman" w:hAnsi="Calibri" w:cs="Calibri"/>
                <w:b/>
                <w:bCs/>
                <w:color w:val="000000"/>
                <w:sz w:val="20"/>
                <w:szCs w:val="20"/>
              </w:rPr>
              <w:t>45.322.007</w:t>
            </w:r>
          </w:p>
        </w:tc>
      </w:tr>
    </w:tbl>
    <w:p w14:paraId="3D62016E" w14:textId="77777777" w:rsidR="005222B6" w:rsidRDefault="005222B6" w:rsidP="005222B6">
      <w:pPr>
        <w:jc w:val="both"/>
        <w:rPr>
          <w:lang w:val="es-ES"/>
        </w:rPr>
      </w:pPr>
    </w:p>
    <w:p w14:paraId="73DDA430" w14:textId="77777777" w:rsidR="005222B6" w:rsidRDefault="005222B6" w:rsidP="005222B6">
      <w:pPr>
        <w:jc w:val="both"/>
        <w:rPr>
          <w:lang w:val="es-ES"/>
        </w:rPr>
      </w:pPr>
    </w:p>
    <w:p w14:paraId="43DCAB47" w14:textId="4AA5340B" w:rsidR="005222B6" w:rsidRPr="005222B6" w:rsidRDefault="005222B6" w:rsidP="005222B6">
      <w:pPr>
        <w:jc w:val="both"/>
        <w:rPr>
          <w:lang w:val="es-ES"/>
        </w:rPr>
      </w:pPr>
      <w:r>
        <w:t xml:space="preserve">Cuadro 9: </w:t>
      </w:r>
      <w:r>
        <w:rPr>
          <w:lang w:val="es-ES"/>
        </w:rPr>
        <w:t>Evolución de la pobreza e indigencia. 1er semestre 2020 vs 1er Semestre 2019</w:t>
      </w:r>
    </w:p>
    <w:p w14:paraId="6437A039" w14:textId="77777777" w:rsidR="005222B6" w:rsidRDefault="005222B6" w:rsidP="005222B6">
      <w:pPr>
        <w:jc w:val="both"/>
        <w:rPr>
          <w:lang w:val="es-ES"/>
        </w:rPr>
      </w:pPr>
    </w:p>
    <w:tbl>
      <w:tblPr>
        <w:tblW w:w="7740" w:type="dxa"/>
        <w:jc w:val="center"/>
        <w:tblCellMar>
          <w:left w:w="70" w:type="dxa"/>
          <w:right w:w="70" w:type="dxa"/>
        </w:tblCellMar>
        <w:tblLook w:val="04A0" w:firstRow="1" w:lastRow="0" w:firstColumn="1" w:lastColumn="0" w:noHBand="0" w:noVBand="1"/>
      </w:tblPr>
      <w:tblGrid>
        <w:gridCol w:w="1740"/>
        <w:gridCol w:w="866"/>
        <w:gridCol w:w="1534"/>
        <w:gridCol w:w="926"/>
        <w:gridCol w:w="1474"/>
        <w:gridCol w:w="1200"/>
      </w:tblGrid>
      <w:tr w:rsidR="005222B6" w:rsidRPr="005C3FBA" w14:paraId="1C42A620" w14:textId="77777777" w:rsidTr="00BC1B83">
        <w:trPr>
          <w:trHeight w:val="300"/>
          <w:jc w:val="center"/>
        </w:trPr>
        <w:tc>
          <w:tcPr>
            <w:tcW w:w="1740" w:type="dxa"/>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50AA9EF" w14:textId="77777777" w:rsidR="005222B6" w:rsidRPr="005C3FBA" w:rsidRDefault="005222B6" w:rsidP="00BC1B83">
            <w:pPr>
              <w:jc w:val="center"/>
              <w:rPr>
                <w:rFonts w:ascii="Calibri" w:eastAsia="Times New Roman" w:hAnsi="Calibri" w:cs="Calibri"/>
                <w:b/>
                <w:bCs/>
                <w:color w:val="FFFFFF"/>
                <w:sz w:val="20"/>
                <w:szCs w:val="20"/>
              </w:rPr>
            </w:pPr>
            <w:r w:rsidRPr="005C3FBA">
              <w:rPr>
                <w:rFonts w:ascii="Calibri" w:eastAsia="Times New Roman" w:hAnsi="Calibri" w:cs="Calibri"/>
                <w:b/>
                <w:bCs/>
                <w:color w:val="FFFFFF"/>
                <w:sz w:val="20"/>
                <w:szCs w:val="20"/>
              </w:rPr>
              <w:t> </w:t>
            </w:r>
          </w:p>
        </w:tc>
        <w:tc>
          <w:tcPr>
            <w:tcW w:w="2400" w:type="dxa"/>
            <w:gridSpan w:val="2"/>
            <w:tcBorders>
              <w:top w:val="single" w:sz="4" w:space="0" w:color="auto"/>
              <w:left w:val="nil"/>
              <w:bottom w:val="single" w:sz="4" w:space="0" w:color="auto"/>
              <w:right w:val="single" w:sz="4" w:space="0" w:color="auto"/>
            </w:tcBorders>
            <w:shd w:val="clear" w:color="000000" w:fill="0070C0"/>
            <w:noWrap/>
            <w:vAlign w:val="center"/>
            <w:hideMark/>
          </w:tcPr>
          <w:p w14:paraId="45261FFF" w14:textId="77777777" w:rsidR="005222B6" w:rsidRPr="005C3FBA" w:rsidRDefault="005222B6" w:rsidP="00BC1B83">
            <w:pPr>
              <w:jc w:val="center"/>
              <w:rPr>
                <w:rFonts w:ascii="Calibri" w:eastAsia="Times New Roman" w:hAnsi="Calibri" w:cs="Calibri"/>
                <w:b/>
                <w:bCs/>
                <w:color w:val="FFFFFF"/>
                <w:sz w:val="20"/>
                <w:szCs w:val="20"/>
              </w:rPr>
            </w:pPr>
            <w:r w:rsidRPr="005C3FBA">
              <w:rPr>
                <w:rFonts w:ascii="Calibri" w:eastAsia="Times New Roman" w:hAnsi="Calibri" w:cs="Calibri"/>
                <w:b/>
                <w:bCs/>
                <w:color w:val="FFFFFF"/>
                <w:sz w:val="20"/>
                <w:szCs w:val="20"/>
              </w:rPr>
              <w:t>Pobreza</w:t>
            </w:r>
          </w:p>
        </w:tc>
        <w:tc>
          <w:tcPr>
            <w:tcW w:w="2400" w:type="dxa"/>
            <w:gridSpan w:val="2"/>
            <w:tcBorders>
              <w:top w:val="single" w:sz="4" w:space="0" w:color="auto"/>
              <w:left w:val="nil"/>
              <w:bottom w:val="single" w:sz="4" w:space="0" w:color="auto"/>
              <w:right w:val="single" w:sz="4" w:space="0" w:color="auto"/>
            </w:tcBorders>
            <w:shd w:val="clear" w:color="000000" w:fill="0070C0"/>
            <w:noWrap/>
            <w:vAlign w:val="center"/>
            <w:hideMark/>
          </w:tcPr>
          <w:p w14:paraId="62A6623C" w14:textId="77777777" w:rsidR="005222B6" w:rsidRPr="005C3FBA" w:rsidRDefault="005222B6" w:rsidP="00BC1B83">
            <w:pPr>
              <w:jc w:val="center"/>
              <w:rPr>
                <w:rFonts w:ascii="Calibri" w:eastAsia="Times New Roman" w:hAnsi="Calibri" w:cs="Calibri"/>
                <w:b/>
                <w:bCs/>
                <w:color w:val="FFFFFF"/>
                <w:sz w:val="20"/>
                <w:szCs w:val="20"/>
              </w:rPr>
            </w:pPr>
            <w:r w:rsidRPr="005C3FBA">
              <w:rPr>
                <w:rFonts w:ascii="Calibri" w:eastAsia="Times New Roman" w:hAnsi="Calibri" w:cs="Calibri"/>
                <w:b/>
                <w:bCs/>
                <w:color w:val="FFFFFF"/>
                <w:sz w:val="20"/>
                <w:szCs w:val="20"/>
              </w:rPr>
              <w:t>Indigencia</w:t>
            </w:r>
          </w:p>
        </w:tc>
        <w:tc>
          <w:tcPr>
            <w:tcW w:w="1200" w:type="dxa"/>
            <w:tcBorders>
              <w:top w:val="single" w:sz="4" w:space="0" w:color="auto"/>
              <w:left w:val="nil"/>
              <w:bottom w:val="single" w:sz="4" w:space="0" w:color="auto"/>
              <w:right w:val="single" w:sz="4" w:space="0" w:color="auto"/>
            </w:tcBorders>
            <w:shd w:val="clear" w:color="000000" w:fill="0070C0"/>
            <w:vAlign w:val="center"/>
            <w:hideMark/>
          </w:tcPr>
          <w:p w14:paraId="24138784" w14:textId="77777777" w:rsidR="005222B6" w:rsidRPr="005C3FBA" w:rsidRDefault="005222B6" w:rsidP="00BC1B83">
            <w:pPr>
              <w:jc w:val="center"/>
              <w:rPr>
                <w:rFonts w:ascii="Calibri" w:eastAsia="Times New Roman" w:hAnsi="Calibri" w:cs="Calibri"/>
                <w:b/>
                <w:bCs/>
                <w:color w:val="FFFFFF"/>
                <w:sz w:val="20"/>
                <w:szCs w:val="20"/>
              </w:rPr>
            </w:pPr>
            <w:r w:rsidRPr="005C3FBA">
              <w:rPr>
                <w:rFonts w:ascii="Calibri" w:eastAsia="Times New Roman" w:hAnsi="Calibri" w:cs="Calibri"/>
                <w:b/>
                <w:bCs/>
                <w:color w:val="FFFFFF"/>
                <w:sz w:val="20"/>
                <w:szCs w:val="20"/>
              </w:rPr>
              <w:t>Población</w:t>
            </w:r>
          </w:p>
        </w:tc>
      </w:tr>
      <w:tr w:rsidR="005222B6" w:rsidRPr="005C3FBA" w14:paraId="0EC7E0E8" w14:textId="77777777" w:rsidTr="00BC1B83">
        <w:trPr>
          <w:trHeight w:val="300"/>
          <w:jc w:val="center"/>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43EBE4EE" w14:textId="77777777" w:rsidR="005222B6" w:rsidRPr="005C3FBA" w:rsidRDefault="005222B6" w:rsidP="00BC1B83">
            <w:pPr>
              <w:rPr>
                <w:rFonts w:ascii="Calibri" w:eastAsia="Times New Roman" w:hAnsi="Calibri" w:cs="Calibri"/>
                <w:b/>
                <w:bCs/>
                <w:color w:val="FFFFFF"/>
                <w:sz w:val="20"/>
                <w:szCs w:val="20"/>
              </w:rPr>
            </w:pPr>
          </w:p>
        </w:tc>
        <w:tc>
          <w:tcPr>
            <w:tcW w:w="866" w:type="dxa"/>
            <w:tcBorders>
              <w:top w:val="nil"/>
              <w:left w:val="nil"/>
              <w:bottom w:val="single" w:sz="4" w:space="0" w:color="auto"/>
              <w:right w:val="single" w:sz="4" w:space="0" w:color="auto"/>
            </w:tcBorders>
            <w:shd w:val="clear" w:color="000000" w:fill="0070C0"/>
            <w:noWrap/>
            <w:vAlign w:val="center"/>
            <w:hideMark/>
          </w:tcPr>
          <w:p w14:paraId="4BBA46FE" w14:textId="77777777" w:rsidR="005222B6" w:rsidRPr="005C3FBA" w:rsidRDefault="005222B6" w:rsidP="00BC1B83">
            <w:pPr>
              <w:jc w:val="center"/>
              <w:rPr>
                <w:rFonts w:ascii="Calibri" w:eastAsia="Times New Roman" w:hAnsi="Calibri" w:cs="Calibri"/>
                <w:b/>
                <w:bCs/>
                <w:color w:val="FFFFFF"/>
                <w:sz w:val="20"/>
                <w:szCs w:val="20"/>
              </w:rPr>
            </w:pPr>
            <w:r w:rsidRPr="005C3FBA">
              <w:rPr>
                <w:rFonts w:ascii="Calibri" w:eastAsia="Times New Roman" w:hAnsi="Calibri" w:cs="Calibri"/>
                <w:b/>
                <w:bCs/>
                <w:color w:val="FFFFFF"/>
                <w:sz w:val="20"/>
                <w:szCs w:val="20"/>
              </w:rPr>
              <w:t>%</w:t>
            </w:r>
          </w:p>
        </w:tc>
        <w:tc>
          <w:tcPr>
            <w:tcW w:w="1534" w:type="dxa"/>
            <w:tcBorders>
              <w:top w:val="nil"/>
              <w:left w:val="nil"/>
              <w:bottom w:val="single" w:sz="4" w:space="0" w:color="auto"/>
              <w:right w:val="single" w:sz="4" w:space="0" w:color="auto"/>
            </w:tcBorders>
            <w:shd w:val="clear" w:color="000000" w:fill="0070C0"/>
            <w:noWrap/>
            <w:vAlign w:val="center"/>
            <w:hideMark/>
          </w:tcPr>
          <w:p w14:paraId="44425185" w14:textId="77777777" w:rsidR="005222B6" w:rsidRPr="005C3FBA" w:rsidRDefault="005222B6" w:rsidP="00BC1B83">
            <w:pPr>
              <w:jc w:val="center"/>
              <w:rPr>
                <w:rFonts w:ascii="Calibri" w:eastAsia="Times New Roman" w:hAnsi="Calibri" w:cs="Calibri"/>
                <w:b/>
                <w:bCs/>
                <w:color w:val="FFFFFF"/>
                <w:sz w:val="20"/>
                <w:szCs w:val="20"/>
              </w:rPr>
            </w:pPr>
            <w:r w:rsidRPr="005C3FBA">
              <w:rPr>
                <w:rFonts w:ascii="Calibri" w:eastAsia="Times New Roman" w:hAnsi="Calibri" w:cs="Calibri"/>
                <w:b/>
                <w:bCs/>
                <w:color w:val="FFFFFF"/>
                <w:sz w:val="20"/>
                <w:szCs w:val="20"/>
              </w:rPr>
              <w:t>Población</w:t>
            </w:r>
          </w:p>
        </w:tc>
        <w:tc>
          <w:tcPr>
            <w:tcW w:w="926" w:type="dxa"/>
            <w:tcBorders>
              <w:top w:val="nil"/>
              <w:left w:val="nil"/>
              <w:bottom w:val="single" w:sz="4" w:space="0" w:color="auto"/>
              <w:right w:val="single" w:sz="4" w:space="0" w:color="auto"/>
            </w:tcBorders>
            <w:shd w:val="clear" w:color="000000" w:fill="0070C0"/>
            <w:noWrap/>
            <w:vAlign w:val="center"/>
            <w:hideMark/>
          </w:tcPr>
          <w:p w14:paraId="3F3E2D97" w14:textId="77777777" w:rsidR="005222B6" w:rsidRPr="005C3FBA" w:rsidRDefault="005222B6" w:rsidP="00BC1B83">
            <w:pPr>
              <w:jc w:val="center"/>
              <w:rPr>
                <w:rFonts w:ascii="Calibri" w:eastAsia="Times New Roman" w:hAnsi="Calibri" w:cs="Calibri"/>
                <w:b/>
                <w:bCs/>
                <w:color w:val="FFFFFF"/>
                <w:sz w:val="20"/>
                <w:szCs w:val="20"/>
              </w:rPr>
            </w:pPr>
            <w:r w:rsidRPr="005C3FBA">
              <w:rPr>
                <w:rFonts w:ascii="Calibri" w:eastAsia="Times New Roman" w:hAnsi="Calibri" w:cs="Calibri"/>
                <w:b/>
                <w:bCs/>
                <w:color w:val="FFFFFF"/>
                <w:sz w:val="20"/>
                <w:szCs w:val="20"/>
              </w:rPr>
              <w:t xml:space="preserve">% </w:t>
            </w:r>
          </w:p>
        </w:tc>
        <w:tc>
          <w:tcPr>
            <w:tcW w:w="1474" w:type="dxa"/>
            <w:tcBorders>
              <w:top w:val="nil"/>
              <w:left w:val="nil"/>
              <w:bottom w:val="single" w:sz="4" w:space="0" w:color="auto"/>
              <w:right w:val="single" w:sz="4" w:space="0" w:color="auto"/>
            </w:tcBorders>
            <w:shd w:val="clear" w:color="000000" w:fill="0070C0"/>
            <w:noWrap/>
            <w:vAlign w:val="center"/>
            <w:hideMark/>
          </w:tcPr>
          <w:p w14:paraId="4F67BE44" w14:textId="77777777" w:rsidR="005222B6" w:rsidRPr="005C3FBA" w:rsidRDefault="005222B6" w:rsidP="00BC1B83">
            <w:pPr>
              <w:jc w:val="center"/>
              <w:rPr>
                <w:rFonts w:ascii="Calibri" w:eastAsia="Times New Roman" w:hAnsi="Calibri" w:cs="Calibri"/>
                <w:b/>
                <w:bCs/>
                <w:color w:val="FFFFFF"/>
                <w:sz w:val="20"/>
                <w:szCs w:val="20"/>
              </w:rPr>
            </w:pPr>
            <w:r w:rsidRPr="005C3FBA">
              <w:rPr>
                <w:rFonts w:ascii="Calibri" w:eastAsia="Times New Roman" w:hAnsi="Calibri" w:cs="Calibri"/>
                <w:b/>
                <w:bCs/>
                <w:color w:val="FFFFFF"/>
                <w:sz w:val="20"/>
                <w:szCs w:val="20"/>
              </w:rPr>
              <w:t>Población</w:t>
            </w:r>
          </w:p>
        </w:tc>
        <w:tc>
          <w:tcPr>
            <w:tcW w:w="1200" w:type="dxa"/>
            <w:tcBorders>
              <w:top w:val="nil"/>
              <w:left w:val="nil"/>
              <w:bottom w:val="single" w:sz="4" w:space="0" w:color="auto"/>
              <w:right w:val="single" w:sz="4" w:space="0" w:color="auto"/>
            </w:tcBorders>
            <w:shd w:val="clear" w:color="000000" w:fill="0070C0"/>
            <w:vAlign w:val="center"/>
            <w:hideMark/>
          </w:tcPr>
          <w:p w14:paraId="59FB0A52" w14:textId="77777777" w:rsidR="005222B6" w:rsidRPr="005C3FBA" w:rsidRDefault="005222B6" w:rsidP="00BC1B83">
            <w:pPr>
              <w:jc w:val="center"/>
              <w:rPr>
                <w:rFonts w:ascii="Calibri" w:eastAsia="Times New Roman" w:hAnsi="Calibri" w:cs="Calibri"/>
                <w:b/>
                <w:bCs/>
                <w:color w:val="FFFFFF"/>
                <w:sz w:val="20"/>
                <w:szCs w:val="20"/>
              </w:rPr>
            </w:pPr>
            <w:r w:rsidRPr="005C3FBA">
              <w:rPr>
                <w:rFonts w:ascii="Calibri" w:eastAsia="Times New Roman" w:hAnsi="Calibri" w:cs="Calibri"/>
                <w:b/>
                <w:bCs/>
                <w:color w:val="FFFFFF"/>
                <w:sz w:val="20"/>
                <w:szCs w:val="20"/>
              </w:rPr>
              <w:t>Total</w:t>
            </w:r>
          </w:p>
        </w:tc>
      </w:tr>
      <w:tr w:rsidR="005222B6" w:rsidRPr="005C3FBA" w14:paraId="0A19F2A0" w14:textId="77777777" w:rsidTr="00BC1B83">
        <w:trPr>
          <w:trHeight w:val="30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250BD416"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1º Semestre 2019</w:t>
            </w:r>
          </w:p>
        </w:tc>
        <w:tc>
          <w:tcPr>
            <w:tcW w:w="866" w:type="dxa"/>
            <w:tcBorders>
              <w:top w:val="nil"/>
              <w:left w:val="nil"/>
              <w:bottom w:val="single" w:sz="4" w:space="0" w:color="auto"/>
              <w:right w:val="single" w:sz="4" w:space="0" w:color="auto"/>
            </w:tcBorders>
            <w:shd w:val="clear" w:color="auto" w:fill="auto"/>
            <w:noWrap/>
            <w:vAlign w:val="center"/>
            <w:hideMark/>
          </w:tcPr>
          <w:p w14:paraId="51D4257C"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35,4%</w:t>
            </w:r>
          </w:p>
        </w:tc>
        <w:tc>
          <w:tcPr>
            <w:tcW w:w="1534" w:type="dxa"/>
            <w:tcBorders>
              <w:top w:val="nil"/>
              <w:left w:val="nil"/>
              <w:bottom w:val="single" w:sz="4" w:space="0" w:color="auto"/>
              <w:right w:val="single" w:sz="4" w:space="0" w:color="auto"/>
            </w:tcBorders>
            <w:shd w:val="clear" w:color="auto" w:fill="auto"/>
            <w:noWrap/>
            <w:vAlign w:val="center"/>
            <w:hideMark/>
          </w:tcPr>
          <w:p w14:paraId="52AEE98D"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15.888.648</w:t>
            </w:r>
          </w:p>
        </w:tc>
        <w:tc>
          <w:tcPr>
            <w:tcW w:w="926" w:type="dxa"/>
            <w:tcBorders>
              <w:top w:val="nil"/>
              <w:left w:val="nil"/>
              <w:bottom w:val="single" w:sz="4" w:space="0" w:color="auto"/>
              <w:right w:val="single" w:sz="4" w:space="0" w:color="auto"/>
            </w:tcBorders>
            <w:shd w:val="clear" w:color="auto" w:fill="auto"/>
            <w:noWrap/>
            <w:vAlign w:val="center"/>
            <w:hideMark/>
          </w:tcPr>
          <w:p w14:paraId="1B42A875"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7,7%</w:t>
            </w:r>
          </w:p>
        </w:tc>
        <w:tc>
          <w:tcPr>
            <w:tcW w:w="1474" w:type="dxa"/>
            <w:tcBorders>
              <w:top w:val="nil"/>
              <w:left w:val="nil"/>
              <w:bottom w:val="single" w:sz="4" w:space="0" w:color="auto"/>
              <w:right w:val="single" w:sz="4" w:space="0" w:color="auto"/>
            </w:tcBorders>
            <w:shd w:val="clear" w:color="auto" w:fill="auto"/>
            <w:noWrap/>
            <w:vAlign w:val="center"/>
            <w:hideMark/>
          </w:tcPr>
          <w:p w14:paraId="674548FF"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3.456.005</w:t>
            </w:r>
          </w:p>
        </w:tc>
        <w:tc>
          <w:tcPr>
            <w:tcW w:w="1200" w:type="dxa"/>
            <w:tcBorders>
              <w:top w:val="nil"/>
              <w:left w:val="nil"/>
              <w:bottom w:val="single" w:sz="4" w:space="0" w:color="auto"/>
              <w:right w:val="single" w:sz="4" w:space="0" w:color="auto"/>
            </w:tcBorders>
            <w:shd w:val="clear" w:color="auto" w:fill="auto"/>
            <w:noWrap/>
            <w:vAlign w:val="center"/>
            <w:hideMark/>
          </w:tcPr>
          <w:p w14:paraId="680E5D30"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44.883.186</w:t>
            </w:r>
          </w:p>
        </w:tc>
      </w:tr>
      <w:tr w:rsidR="005222B6" w:rsidRPr="005C3FBA" w14:paraId="68DD1216" w14:textId="77777777" w:rsidTr="00BC1B83">
        <w:trPr>
          <w:trHeight w:val="300"/>
          <w:jc w:val="center"/>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14:paraId="207DA517"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1º Semestre 2020</w:t>
            </w:r>
          </w:p>
        </w:tc>
        <w:tc>
          <w:tcPr>
            <w:tcW w:w="866" w:type="dxa"/>
            <w:tcBorders>
              <w:top w:val="nil"/>
              <w:left w:val="nil"/>
              <w:bottom w:val="single" w:sz="4" w:space="0" w:color="auto"/>
              <w:right w:val="single" w:sz="4" w:space="0" w:color="auto"/>
            </w:tcBorders>
            <w:shd w:val="clear" w:color="auto" w:fill="auto"/>
            <w:noWrap/>
            <w:vAlign w:val="center"/>
            <w:hideMark/>
          </w:tcPr>
          <w:p w14:paraId="0F332958"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40,9%</w:t>
            </w:r>
          </w:p>
        </w:tc>
        <w:tc>
          <w:tcPr>
            <w:tcW w:w="1534" w:type="dxa"/>
            <w:tcBorders>
              <w:top w:val="nil"/>
              <w:left w:val="nil"/>
              <w:bottom w:val="single" w:sz="4" w:space="0" w:color="auto"/>
              <w:right w:val="single" w:sz="4" w:space="0" w:color="auto"/>
            </w:tcBorders>
            <w:shd w:val="clear" w:color="auto" w:fill="auto"/>
            <w:noWrap/>
            <w:vAlign w:val="center"/>
            <w:hideMark/>
          </w:tcPr>
          <w:p w14:paraId="38C5BB1C"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18.536.701</w:t>
            </w:r>
          </w:p>
        </w:tc>
        <w:tc>
          <w:tcPr>
            <w:tcW w:w="926" w:type="dxa"/>
            <w:tcBorders>
              <w:top w:val="nil"/>
              <w:left w:val="nil"/>
              <w:bottom w:val="single" w:sz="4" w:space="0" w:color="auto"/>
              <w:right w:val="single" w:sz="4" w:space="0" w:color="auto"/>
            </w:tcBorders>
            <w:shd w:val="clear" w:color="auto" w:fill="auto"/>
            <w:noWrap/>
            <w:vAlign w:val="center"/>
            <w:hideMark/>
          </w:tcPr>
          <w:p w14:paraId="14A7E61C"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10,5%</w:t>
            </w:r>
          </w:p>
        </w:tc>
        <w:tc>
          <w:tcPr>
            <w:tcW w:w="1474" w:type="dxa"/>
            <w:tcBorders>
              <w:top w:val="nil"/>
              <w:left w:val="nil"/>
              <w:bottom w:val="single" w:sz="4" w:space="0" w:color="auto"/>
              <w:right w:val="single" w:sz="4" w:space="0" w:color="auto"/>
            </w:tcBorders>
            <w:shd w:val="clear" w:color="auto" w:fill="auto"/>
            <w:noWrap/>
            <w:vAlign w:val="center"/>
            <w:hideMark/>
          </w:tcPr>
          <w:p w14:paraId="083377D9"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4.758.811</w:t>
            </w:r>
          </w:p>
        </w:tc>
        <w:tc>
          <w:tcPr>
            <w:tcW w:w="1200" w:type="dxa"/>
            <w:tcBorders>
              <w:top w:val="nil"/>
              <w:left w:val="nil"/>
              <w:bottom w:val="single" w:sz="4" w:space="0" w:color="auto"/>
              <w:right w:val="single" w:sz="4" w:space="0" w:color="auto"/>
            </w:tcBorders>
            <w:shd w:val="clear" w:color="auto" w:fill="auto"/>
            <w:noWrap/>
            <w:vAlign w:val="center"/>
            <w:hideMark/>
          </w:tcPr>
          <w:p w14:paraId="398971BC" w14:textId="77777777" w:rsidR="005222B6" w:rsidRPr="005C3FBA" w:rsidRDefault="005222B6" w:rsidP="00BC1B83">
            <w:pPr>
              <w:jc w:val="center"/>
              <w:rPr>
                <w:rFonts w:ascii="Calibri" w:eastAsia="Times New Roman" w:hAnsi="Calibri" w:cs="Calibri"/>
                <w:color w:val="000000"/>
                <w:sz w:val="20"/>
                <w:szCs w:val="20"/>
              </w:rPr>
            </w:pPr>
            <w:r w:rsidRPr="005C3FBA">
              <w:rPr>
                <w:rFonts w:ascii="Calibri" w:eastAsia="Times New Roman" w:hAnsi="Calibri" w:cs="Calibri"/>
                <w:color w:val="000000"/>
                <w:sz w:val="20"/>
                <w:szCs w:val="20"/>
              </w:rPr>
              <w:t>45.322.007</w:t>
            </w:r>
          </w:p>
        </w:tc>
      </w:tr>
      <w:tr w:rsidR="005222B6" w:rsidRPr="005C3FBA" w14:paraId="3E9F175B" w14:textId="77777777" w:rsidTr="00BC1B83">
        <w:trPr>
          <w:trHeight w:val="300"/>
          <w:jc w:val="center"/>
        </w:trPr>
        <w:tc>
          <w:tcPr>
            <w:tcW w:w="17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40BB934" w14:textId="77777777" w:rsidR="005222B6" w:rsidRPr="005C3FBA" w:rsidRDefault="005222B6" w:rsidP="00BC1B83">
            <w:pPr>
              <w:jc w:val="center"/>
              <w:rPr>
                <w:rFonts w:ascii="Calibri" w:eastAsia="Times New Roman" w:hAnsi="Calibri" w:cs="Calibri"/>
                <w:b/>
                <w:bCs/>
                <w:color w:val="000000"/>
                <w:sz w:val="20"/>
                <w:szCs w:val="20"/>
              </w:rPr>
            </w:pPr>
            <w:r w:rsidRPr="005C3FBA">
              <w:rPr>
                <w:rFonts w:ascii="Calibri" w:eastAsia="Times New Roman" w:hAnsi="Calibri" w:cs="Calibri"/>
                <w:b/>
                <w:bCs/>
                <w:color w:val="000000"/>
                <w:sz w:val="20"/>
                <w:szCs w:val="20"/>
              </w:rPr>
              <w:t>Variación</w:t>
            </w:r>
          </w:p>
        </w:tc>
        <w:tc>
          <w:tcPr>
            <w:tcW w:w="8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0CC9FE2" w14:textId="77777777" w:rsidR="005222B6" w:rsidRPr="005C3FBA" w:rsidRDefault="005222B6" w:rsidP="00BC1B83">
            <w:pPr>
              <w:jc w:val="center"/>
              <w:rPr>
                <w:rFonts w:ascii="Calibri" w:eastAsia="Times New Roman" w:hAnsi="Calibri" w:cs="Calibri"/>
                <w:b/>
                <w:bCs/>
                <w:color w:val="000000"/>
                <w:sz w:val="20"/>
                <w:szCs w:val="20"/>
              </w:rPr>
            </w:pPr>
            <w:r w:rsidRPr="005C3FBA">
              <w:rPr>
                <w:rFonts w:ascii="Calibri" w:eastAsia="Times New Roman" w:hAnsi="Calibri" w:cs="Calibri"/>
                <w:b/>
                <w:bCs/>
                <w:color w:val="000000"/>
                <w:sz w:val="20"/>
                <w:szCs w:val="20"/>
              </w:rPr>
              <w:t>15,5%</w:t>
            </w:r>
          </w:p>
        </w:tc>
        <w:tc>
          <w:tcPr>
            <w:tcW w:w="153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51E9072" w14:textId="77777777" w:rsidR="005222B6" w:rsidRPr="005C3FBA" w:rsidRDefault="005222B6" w:rsidP="00BC1B83">
            <w:pPr>
              <w:jc w:val="center"/>
              <w:rPr>
                <w:rFonts w:ascii="Calibri" w:eastAsia="Times New Roman" w:hAnsi="Calibri" w:cs="Calibri"/>
                <w:b/>
                <w:bCs/>
                <w:color w:val="000000"/>
                <w:sz w:val="20"/>
                <w:szCs w:val="20"/>
              </w:rPr>
            </w:pPr>
            <w:r w:rsidRPr="005C3FBA">
              <w:rPr>
                <w:rFonts w:ascii="Calibri" w:eastAsia="Times New Roman" w:hAnsi="Calibri" w:cs="Calibri"/>
                <w:b/>
                <w:bCs/>
                <w:color w:val="000000"/>
                <w:sz w:val="20"/>
                <w:szCs w:val="20"/>
              </w:rPr>
              <w:t>2.648.053</w:t>
            </w:r>
          </w:p>
        </w:tc>
        <w:tc>
          <w:tcPr>
            <w:tcW w:w="92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0983C1C" w14:textId="77777777" w:rsidR="005222B6" w:rsidRPr="005C3FBA" w:rsidRDefault="005222B6" w:rsidP="00BC1B83">
            <w:pPr>
              <w:jc w:val="center"/>
              <w:rPr>
                <w:rFonts w:ascii="Calibri" w:eastAsia="Times New Roman" w:hAnsi="Calibri" w:cs="Calibri"/>
                <w:b/>
                <w:bCs/>
                <w:color w:val="000000"/>
                <w:sz w:val="20"/>
                <w:szCs w:val="20"/>
              </w:rPr>
            </w:pPr>
            <w:r w:rsidRPr="005C3FBA">
              <w:rPr>
                <w:rFonts w:ascii="Calibri" w:eastAsia="Times New Roman" w:hAnsi="Calibri" w:cs="Calibri"/>
                <w:b/>
                <w:bCs/>
                <w:color w:val="000000"/>
                <w:sz w:val="20"/>
                <w:szCs w:val="20"/>
              </w:rPr>
              <w:t>36,4%</w:t>
            </w:r>
          </w:p>
        </w:tc>
        <w:tc>
          <w:tcPr>
            <w:tcW w:w="147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B46B7B8" w14:textId="77777777" w:rsidR="005222B6" w:rsidRPr="005C3FBA" w:rsidRDefault="005222B6" w:rsidP="00BC1B83">
            <w:pPr>
              <w:jc w:val="center"/>
              <w:rPr>
                <w:rFonts w:ascii="Calibri" w:eastAsia="Times New Roman" w:hAnsi="Calibri" w:cs="Calibri"/>
                <w:b/>
                <w:bCs/>
                <w:color w:val="000000"/>
                <w:sz w:val="20"/>
                <w:szCs w:val="20"/>
              </w:rPr>
            </w:pPr>
            <w:r w:rsidRPr="005C3FBA">
              <w:rPr>
                <w:rFonts w:ascii="Calibri" w:eastAsia="Times New Roman" w:hAnsi="Calibri" w:cs="Calibri"/>
                <w:b/>
                <w:bCs/>
                <w:color w:val="000000"/>
                <w:sz w:val="20"/>
                <w:szCs w:val="20"/>
              </w:rPr>
              <w:t>1.302.806</w:t>
            </w:r>
          </w:p>
        </w:tc>
        <w:tc>
          <w:tcPr>
            <w:tcW w:w="12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302D481" w14:textId="77777777" w:rsidR="005222B6" w:rsidRPr="005C3FBA" w:rsidRDefault="005222B6" w:rsidP="00BC1B83">
            <w:pPr>
              <w:jc w:val="center"/>
              <w:rPr>
                <w:rFonts w:ascii="Calibri" w:eastAsia="Times New Roman" w:hAnsi="Calibri" w:cs="Calibri"/>
                <w:b/>
                <w:bCs/>
                <w:color w:val="000000"/>
                <w:sz w:val="20"/>
                <w:szCs w:val="20"/>
              </w:rPr>
            </w:pPr>
            <w:r w:rsidRPr="005C3FBA">
              <w:rPr>
                <w:rFonts w:ascii="Calibri" w:eastAsia="Times New Roman" w:hAnsi="Calibri" w:cs="Calibri"/>
                <w:b/>
                <w:bCs/>
                <w:color w:val="000000"/>
                <w:sz w:val="20"/>
                <w:szCs w:val="20"/>
              </w:rPr>
              <w:t>438.821</w:t>
            </w:r>
          </w:p>
        </w:tc>
      </w:tr>
      <w:tr w:rsidR="005222B6" w:rsidRPr="005C3FBA" w14:paraId="22DB08E5" w14:textId="77777777" w:rsidTr="00BC1B83">
        <w:trPr>
          <w:trHeight w:val="300"/>
          <w:jc w:val="center"/>
        </w:trPr>
        <w:tc>
          <w:tcPr>
            <w:tcW w:w="1740" w:type="dxa"/>
            <w:vMerge/>
            <w:tcBorders>
              <w:top w:val="nil"/>
              <w:left w:val="single" w:sz="4" w:space="0" w:color="auto"/>
              <w:bottom w:val="single" w:sz="4" w:space="0" w:color="000000"/>
              <w:right w:val="single" w:sz="4" w:space="0" w:color="auto"/>
            </w:tcBorders>
            <w:vAlign w:val="center"/>
            <w:hideMark/>
          </w:tcPr>
          <w:p w14:paraId="784FC443" w14:textId="77777777" w:rsidR="005222B6" w:rsidRPr="005C3FBA" w:rsidRDefault="005222B6" w:rsidP="00BC1B83">
            <w:pPr>
              <w:rPr>
                <w:rFonts w:ascii="Calibri" w:eastAsia="Times New Roman" w:hAnsi="Calibri" w:cs="Calibri"/>
                <w:b/>
                <w:b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2729461D" w14:textId="77777777" w:rsidR="005222B6" w:rsidRPr="005C3FBA" w:rsidRDefault="005222B6" w:rsidP="00BC1B83">
            <w:pPr>
              <w:rPr>
                <w:rFonts w:ascii="Calibri" w:eastAsia="Times New Roman" w:hAnsi="Calibri" w:cs="Calibri"/>
                <w:b/>
                <w:bCs/>
                <w:color w:val="000000"/>
                <w:sz w:val="20"/>
                <w:szCs w:val="20"/>
              </w:rPr>
            </w:pPr>
          </w:p>
        </w:tc>
        <w:tc>
          <w:tcPr>
            <w:tcW w:w="1534" w:type="dxa"/>
            <w:vMerge/>
            <w:tcBorders>
              <w:top w:val="nil"/>
              <w:left w:val="single" w:sz="4" w:space="0" w:color="auto"/>
              <w:bottom w:val="single" w:sz="4" w:space="0" w:color="auto"/>
              <w:right w:val="single" w:sz="4" w:space="0" w:color="auto"/>
            </w:tcBorders>
            <w:vAlign w:val="center"/>
            <w:hideMark/>
          </w:tcPr>
          <w:p w14:paraId="75737F1A" w14:textId="77777777" w:rsidR="005222B6" w:rsidRPr="005C3FBA" w:rsidRDefault="005222B6" w:rsidP="00BC1B83">
            <w:pPr>
              <w:rPr>
                <w:rFonts w:ascii="Calibri" w:eastAsia="Times New Roman" w:hAnsi="Calibri" w:cs="Calibri"/>
                <w:b/>
                <w:bCs/>
                <w:color w:val="000000"/>
                <w:sz w:val="20"/>
                <w:szCs w:val="20"/>
              </w:rPr>
            </w:pPr>
          </w:p>
        </w:tc>
        <w:tc>
          <w:tcPr>
            <w:tcW w:w="926" w:type="dxa"/>
            <w:vMerge/>
            <w:tcBorders>
              <w:top w:val="nil"/>
              <w:left w:val="single" w:sz="4" w:space="0" w:color="auto"/>
              <w:bottom w:val="single" w:sz="4" w:space="0" w:color="auto"/>
              <w:right w:val="single" w:sz="4" w:space="0" w:color="auto"/>
            </w:tcBorders>
            <w:vAlign w:val="center"/>
            <w:hideMark/>
          </w:tcPr>
          <w:p w14:paraId="6AE00DF7" w14:textId="77777777" w:rsidR="005222B6" w:rsidRPr="005C3FBA" w:rsidRDefault="005222B6" w:rsidP="00BC1B83">
            <w:pPr>
              <w:rPr>
                <w:rFonts w:ascii="Calibri" w:eastAsia="Times New Roman" w:hAnsi="Calibri" w:cs="Calibri"/>
                <w:b/>
                <w:bCs/>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14:paraId="3084B0F2" w14:textId="77777777" w:rsidR="005222B6" w:rsidRPr="005C3FBA" w:rsidRDefault="005222B6" w:rsidP="00BC1B83">
            <w:pPr>
              <w:rPr>
                <w:rFonts w:ascii="Calibri" w:eastAsia="Times New Roman" w:hAnsi="Calibri" w:cs="Calibri"/>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6D850343" w14:textId="77777777" w:rsidR="005222B6" w:rsidRPr="005C3FBA" w:rsidRDefault="005222B6" w:rsidP="00BC1B83">
            <w:pPr>
              <w:rPr>
                <w:rFonts w:ascii="Calibri" w:eastAsia="Times New Roman" w:hAnsi="Calibri" w:cs="Calibri"/>
                <w:b/>
                <w:bCs/>
                <w:color w:val="000000"/>
                <w:sz w:val="20"/>
                <w:szCs w:val="20"/>
              </w:rPr>
            </w:pPr>
          </w:p>
        </w:tc>
      </w:tr>
    </w:tbl>
    <w:p w14:paraId="50FB7C5F" w14:textId="77777777" w:rsidR="001A4A95" w:rsidRDefault="001A4A95"/>
    <w:p w14:paraId="3F99ECD2" w14:textId="77777777" w:rsidR="001A4A95" w:rsidRDefault="001A4A95"/>
    <w:p w14:paraId="0F1F1241" w14:textId="7B31E040" w:rsidR="001A4A95" w:rsidRDefault="001A4A95" w:rsidP="001A4A95">
      <w:pPr>
        <w:ind w:firstLine="708"/>
        <w:jc w:val="both"/>
        <w:rPr>
          <w:lang w:val="es-ES"/>
        </w:rPr>
      </w:pPr>
      <w:r>
        <w:rPr>
          <w:lang w:val="es-ES"/>
        </w:rPr>
        <w:t xml:space="preserve">Asimismo, los indicadores publicados por el INDEC permiten dar cuenta de que no sólo hay más hogares pobres, sino que la intensidad de la pobreza se agravó. Ello queda expresado en la brecha entre los ingresos medios de estos hogares y el valor promedio de la canasta que necesitan para superar la situación de pobreza. De hecho, este indicador alcanzó un nuevo máximo en la serie publicada por el INDEC: al 1er semestre de 2020, los ingresos </w:t>
      </w:r>
      <w:r>
        <w:rPr>
          <w:lang w:val="es-ES"/>
        </w:rPr>
        <w:lastRenderedPageBreak/>
        <w:t xml:space="preserve">de los hogares pobres estaban, en promedio, un 41,2% por debajo del valor de la canasta básica total. </w:t>
      </w:r>
    </w:p>
    <w:p w14:paraId="4374E29F" w14:textId="7626D2D6" w:rsidR="001A4A95" w:rsidRDefault="001A4A95" w:rsidP="001A4A95">
      <w:pPr>
        <w:ind w:firstLine="708"/>
        <w:jc w:val="both"/>
        <w:rPr>
          <w:lang w:val="es-ES"/>
        </w:rPr>
      </w:pPr>
    </w:p>
    <w:p w14:paraId="4A735D38" w14:textId="77777777" w:rsidR="001A4A95" w:rsidRDefault="001A4A95" w:rsidP="001A4A95">
      <w:pPr>
        <w:ind w:firstLine="708"/>
        <w:jc w:val="both"/>
        <w:rPr>
          <w:lang w:val="es-ES"/>
        </w:rPr>
      </w:pPr>
    </w:p>
    <w:p w14:paraId="360BF28C" w14:textId="77777777" w:rsidR="001A4A95" w:rsidRDefault="001A4A95" w:rsidP="001A4A95">
      <w:pPr>
        <w:ind w:firstLine="708"/>
        <w:jc w:val="both"/>
        <w:rPr>
          <w:lang w:val="es-ES"/>
        </w:rPr>
      </w:pPr>
    </w:p>
    <w:tbl>
      <w:tblPr>
        <w:tblW w:w="11370" w:type="dxa"/>
        <w:jc w:val="center"/>
        <w:tblCellMar>
          <w:left w:w="70" w:type="dxa"/>
          <w:right w:w="70" w:type="dxa"/>
        </w:tblCellMar>
        <w:tblLook w:val="04A0" w:firstRow="1" w:lastRow="0" w:firstColumn="1" w:lastColumn="0" w:noHBand="0" w:noVBand="1"/>
      </w:tblPr>
      <w:tblGrid>
        <w:gridCol w:w="3006"/>
        <w:gridCol w:w="284"/>
        <w:gridCol w:w="1010"/>
        <w:gridCol w:w="1010"/>
        <w:gridCol w:w="1010"/>
        <w:gridCol w:w="1010"/>
        <w:gridCol w:w="1010"/>
        <w:gridCol w:w="1010"/>
        <w:gridCol w:w="1010"/>
        <w:gridCol w:w="1010"/>
      </w:tblGrid>
      <w:tr w:rsidR="001A4A95" w14:paraId="5F1B83E0" w14:textId="77777777" w:rsidTr="00517C9A">
        <w:trPr>
          <w:trHeight w:val="481"/>
          <w:jc w:val="center"/>
        </w:trPr>
        <w:tc>
          <w:tcPr>
            <w:tcW w:w="3005" w:type="dxa"/>
            <w:tcBorders>
              <w:top w:val="single" w:sz="4" w:space="0" w:color="auto"/>
              <w:left w:val="nil"/>
              <w:bottom w:val="single" w:sz="4" w:space="0" w:color="auto"/>
              <w:right w:val="nil"/>
            </w:tcBorders>
            <w:noWrap/>
            <w:vAlign w:val="center"/>
            <w:hideMark/>
          </w:tcPr>
          <w:p w14:paraId="0364C1C6" w14:textId="77777777" w:rsidR="001A4A95" w:rsidRDefault="001A4A95" w:rsidP="00517C9A">
            <w:pPr>
              <w:rPr>
                <w:rFonts w:eastAsia="Times New Roman"/>
                <w:color w:val="000000"/>
                <w:sz w:val="16"/>
                <w:szCs w:val="16"/>
                <w:lang w:val="es-AR"/>
              </w:rPr>
            </w:pPr>
            <w:r>
              <w:rPr>
                <w:rFonts w:eastAsia="Times New Roman"/>
                <w:color w:val="000000"/>
                <w:sz w:val="16"/>
                <w:szCs w:val="16"/>
              </w:rPr>
              <w:t> </w:t>
            </w:r>
          </w:p>
        </w:tc>
        <w:tc>
          <w:tcPr>
            <w:tcW w:w="279" w:type="dxa"/>
            <w:tcBorders>
              <w:top w:val="single" w:sz="4" w:space="0" w:color="auto"/>
              <w:left w:val="nil"/>
              <w:bottom w:val="single" w:sz="4" w:space="0" w:color="auto"/>
              <w:right w:val="nil"/>
            </w:tcBorders>
            <w:noWrap/>
            <w:vAlign w:val="center"/>
            <w:hideMark/>
          </w:tcPr>
          <w:p w14:paraId="4B6A8565" w14:textId="77777777" w:rsidR="001A4A95" w:rsidRDefault="001A4A95" w:rsidP="00517C9A">
            <w:pPr>
              <w:rPr>
                <w:rFonts w:eastAsia="Times New Roman"/>
                <w:color w:val="000000"/>
                <w:sz w:val="16"/>
                <w:szCs w:val="16"/>
              </w:rPr>
            </w:pPr>
            <w:r>
              <w:rPr>
                <w:rFonts w:eastAsia="Times New Roman"/>
                <w:color w:val="000000"/>
                <w:sz w:val="16"/>
                <w:szCs w:val="16"/>
              </w:rPr>
              <w:t> </w:t>
            </w:r>
          </w:p>
        </w:tc>
        <w:tc>
          <w:tcPr>
            <w:tcW w:w="1010" w:type="dxa"/>
            <w:tcBorders>
              <w:top w:val="single" w:sz="4" w:space="0" w:color="auto"/>
              <w:left w:val="nil"/>
              <w:bottom w:val="single" w:sz="4" w:space="0" w:color="auto"/>
              <w:right w:val="nil"/>
            </w:tcBorders>
            <w:vAlign w:val="center"/>
            <w:hideMark/>
          </w:tcPr>
          <w:p w14:paraId="508C63EF" w14:textId="77777777" w:rsidR="001A4A95" w:rsidRDefault="001A4A95" w:rsidP="00517C9A">
            <w:pPr>
              <w:jc w:val="center"/>
              <w:rPr>
                <w:rFonts w:eastAsia="Times New Roman"/>
                <w:color w:val="000000"/>
                <w:sz w:val="16"/>
                <w:szCs w:val="16"/>
              </w:rPr>
            </w:pPr>
            <w:r>
              <w:rPr>
                <w:rFonts w:eastAsia="Times New Roman"/>
                <w:color w:val="000000"/>
                <w:sz w:val="16"/>
                <w:szCs w:val="16"/>
              </w:rPr>
              <w:t>2° semestre 2016</w:t>
            </w:r>
          </w:p>
        </w:tc>
        <w:tc>
          <w:tcPr>
            <w:tcW w:w="1010" w:type="dxa"/>
            <w:tcBorders>
              <w:top w:val="single" w:sz="4" w:space="0" w:color="auto"/>
              <w:left w:val="nil"/>
              <w:bottom w:val="single" w:sz="4" w:space="0" w:color="auto"/>
              <w:right w:val="nil"/>
            </w:tcBorders>
            <w:vAlign w:val="center"/>
            <w:hideMark/>
          </w:tcPr>
          <w:p w14:paraId="34E2A569" w14:textId="77777777" w:rsidR="001A4A95" w:rsidRDefault="001A4A95" w:rsidP="00517C9A">
            <w:pPr>
              <w:jc w:val="center"/>
              <w:rPr>
                <w:rFonts w:eastAsia="Times New Roman"/>
                <w:color w:val="000000"/>
                <w:sz w:val="16"/>
                <w:szCs w:val="16"/>
              </w:rPr>
            </w:pPr>
            <w:r>
              <w:rPr>
                <w:rFonts w:eastAsia="Times New Roman"/>
                <w:color w:val="000000"/>
                <w:sz w:val="16"/>
                <w:szCs w:val="16"/>
              </w:rPr>
              <w:t>1° semestre 2017</w:t>
            </w:r>
          </w:p>
        </w:tc>
        <w:tc>
          <w:tcPr>
            <w:tcW w:w="1011" w:type="dxa"/>
            <w:tcBorders>
              <w:top w:val="single" w:sz="4" w:space="0" w:color="auto"/>
              <w:left w:val="nil"/>
              <w:bottom w:val="single" w:sz="4" w:space="0" w:color="auto"/>
              <w:right w:val="nil"/>
            </w:tcBorders>
            <w:vAlign w:val="center"/>
            <w:hideMark/>
          </w:tcPr>
          <w:p w14:paraId="75F081F6" w14:textId="77777777" w:rsidR="001A4A95" w:rsidRDefault="001A4A95" w:rsidP="00517C9A">
            <w:pPr>
              <w:jc w:val="center"/>
              <w:rPr>
                <w:rFonts w:eastAsia="Times New Roman"/>
                <w:color w:val="000000"/>
                <w:sz w:val="16"/>
                <w:szCs w:val="16"/>
              </w:rPr>
            </w:pPr>
            <w:r>
              <w:rPr>
                <w:rFonts w:eastAsia="Times New Roman"/>
                <w:color w:val="000000"/>
                <w:sz w:val="16"/>
                <w:szCs w:val="16"/>
              </w:rPr>
              <w:t>2° semestre 2017</w:t>
            </w:r>
          </w:p>
        </w:tc>
        <w:tc>
          <w:tcPr>
            <w:tcW w:w="1011" w:type="dxa"/>
            <w:tcBorders>
              <w:top w:val="single" w:sz="4" w:space="0" w:color="auto"/>
              <w:left w:val="nil"/>
              <w:bottom w:val="single" w:sz="4" w:space="0" w:color="auto"/>
              <w:right w:val="nil"/>
            </w:tcBorders>
            <w:vAlign w:val="center"/>
            <w:hideMark/>
          </w:tcPr>
          <w:p w14:paraId="26B6ABE3" w14:textId="77777777" w:rsidR="001A4A95" w:rsidRDefault="001A4A95" w:rsidP="00517C9A">
            <w:pPr>
              <w:jc w:val="center"/>
              <w:rPr>
                <w:rFonts w:eastAsia="Times New Roman"/>
                <w:color w:val="000000"/>
                <w:sz w:val="16"/>
                <w:szCs w:val="16"/>
              </w:rPr>
            </w:pPr>
            <w:r>
              <w:rPr>
                <w:rFonts w:eastAsia="Times New Roman"/>
                <w:color w:val="000000"/>
                <w:sz w:val="16"/>
                <w:szCs w:val="16"/>
              </w:rPr>
              <w:t>1° semestre 2018</w:t>
            </w:r>
          </w:p>
        </w:tc>
        <w:tc>
          <w:tcPr>
            <w:tcW w:w="1011" w:type="dxa"/>
            <w:tcBorders>
              <w:top w:val="single" w:sz="4" w:space="0" w:color="auto"/>
              <w:left w:val="nil"/>
              <w:bottom w:val="single" w:sz="4" w:space="0" w:color="auto"/>
              <w:right w:val="nil"/>
            </w:tcBorders>
            <w:vAlign w:val="center"/>
            <w:hideMark/>
          </w:tcPr>
          <w:p w14:paraId="48ECDE22" w14:textId="77777777" w:rsidR="001A4A95" w:rsidRDefault="001A4A95" w:rsidP="00517C9A">
            <w:pPr>
              <w:jc w:val="center"/>
              <w:rPr>
                <w:rFonts w:eastAsia="Times New Roman"/>
                <w:color w:val="000000"/>
                <w:sz w:val="16"/>
                <w:szCs w:val="16"/>
              </w:rPr>
            </w:pPr>
            <w:r>
              <w:rPr>
                <w:rFonts w:eastAsia="Times New Roman"/>
                <w:color w:val="000000"/>
                <w:sz w:val="16"/>
                <w:szCs w:val="16"/>
              </w:rPr>
              <w:t>2° semestre 2018</w:t>
            </w:r>
          </w:p>
        </w:tc>
        <w:tc>
          <w:tcPr>
            <w:tcW w:w="1011" w:type="dxa"/>
            <w:tcBorders>
              <w:top w:val="single" w:sz="4" w:space="0" w:color="auto"/>
              <w:left w:val="nil"/>
              <w:bottom w:val="single" w:sz="4" w:space="0" w:color="auto"/>
              <w:right w:val="nil"/>
            </w:tcBorders>
            <w:vAlign w:val="center"/>
            <w:hideMark/>
          </w:tcPr>
          <w:p w14:paraId="4212A0CF" w14:textId="77777777" w:rsidR="001A4A95" w:rsidRDefault="001A4A95" w:rsidP="00517C9A">
            <w:pPr>
              <w:jc w:val="center"/>
              <w:rPr>
                <w:rFonts w:eastAsia="Times New Roman"/>
                <w:color w:val="000000"/>
                <w:sz w:val="16"/>
                <w:szCs w:val="16"/>
              </w:rPr>
            </w:pPr>
            <w:r>
              <w:rPr>
                <w:rFonts w:eastAsia="Times New Roman"/>
                <w:color w:val="000000"/>
                <w:sz w:val="16"/>
                <w:szCs w:val="16"/>
              </w:rPr>
              <w:t>1° semestre 2019</w:t>
            </w:r>
          </w:p>
        </w:tc>
        <w:tc>
          <w:tcPr>
            <w:tcW w:w="1011" w:type="dxa"/>
            <w:tcBorders>
              <w:top w:val="single" w:sz="4" w:space="0" w:color="auto"/>
              <w:left w:val="nil"/>
              <w:bottom w:val="single" w:sz="4" w:space="0" w:color="auto"/>
              <w:right w:val="nil"/>
            </w:tcBorders>
            <w:vAlign w:val="center"/>
            <w:hideMark/>
          </w:tcPr>
          <w:p w14:paraId="5FAFF299" w14:textId="77777777" w:rsidR="001A4A95" w:rsidRDefault="001A4A95" w:rsidP="00517C9A">
            <w:pPr>
              <w:jc w:val="center"/>
              <w:rPr>
                <w:rFonts w:eastAsia="Times New Roman"/>
                <w:color w:val="000000"/>
                <w:sz w:val="16"/>
                <w:szCs w:val="16"/>
              </w:rPr>
            </w:pPr>
            <w:r>
              <w:rPr>
                <w:rFonts w:eastAsia="Times New Roman"/>
                <w:color w:val="000000"/>
                <w:sz w:val="16"/>
                <w:szCs w:val="16"/>
              </w:rPr>
              <w:t>2° semestre 2019</w:t>
            </w:r>
          </w:p>
        </w:tc>
        <w:tc>
          <w:tcPr>
            <w:tcW w:w="1011" w:type="dxa"/>
            <w:tcBorders>
              <w:top w:val="single" w:sz="4" w:space="0" w:color="auto"/>
              <w:left w:val="nil"/>
              <w:bottom w:val="single" w:sz="4" w:space="0" w:color="auto"/>
              <w:right w:val="nil"/>
            </w:tcBorders>
            <w:vAlign w:val="center"/>
            <w:hideMark/>
          </w:tcPr>
          <w:p w14:paraId="7BFAC9C5" w14:textId="77777777" w:rsidR="001A4A95" w:rsidRDefault="001A4A95" w:rsidP="00517C9A">
            <w:pPr>
              <w:jc w:val="center"/>
              <w:rPr>
                <w:rFonts w:eastAsia="Times New Roman"/>
                <w:color w:val="000000"/>
                <w:sz w:val="16"/>
                <w:szCs w:val="16"/>
              </w:rPr>
            </w:pPr>
            <w:r>
              <w:rPr>
                <w:rFonts w:eastAsia="Times New Roman"/>
                <w:color w:val="000000"/>
                <w:sz w:val="16"/>
                <w:szCs w:val="16"/>
              </w:rPr>
              <w:t>1° semestre 2020</w:t>
            </w:r>
          </w:p>
        </w:tc>
      </w:tr>
      <w:tr w:rsidR="001A4A95" w14:paraId="64314FA8" w14:textId="77777777" w:rsidTr="00517C9A">
        <w:trPr>
          <w:trHeight w:val="321"/>
          <w:jc w:val="center"/>
        </w:trPr>
        <w:tc>
          <w:tcPr>
            <w:tcW w:w="3005" w:type="dxa"/>
            <w:vAlign w:val="center"/>
            <w:hideMark/>
          </w:tcPr>
          <w:p w14:paraId="3D9F0536" w14:textId="77777777" w:rsidR="001A4A95" w:rsidRDefault="001A4A95" w:rsidP="00517C9A">
            <w:pPr>
              <w:rPr>
                <w:rFonts w:eastAsia="Times New Roman"/>
                <w:color w:val="000000"/>
                <w:sz w:val="16"/>
                <w:szCs w:val="16"/>
              </w:rPr>
            </w:pPr>
            <w:r>
              <w:rPr>
                <w:rFonts w:eastAsia="Times New Roman"/>
                <w:color w:val="000000"/>
                <w:sz w:val="16"/>
                <w:szCs w:val="16"/>
              </w:rPr>
              <w:t xml:space="preserve">CBT promedio del hogar pobre (a) </w:t>
            </w:r>
          </w:p>
        </w:tc>
        <w:tc>
          <w:tcPr>
            <w:tcW w:w="279" w:type="dxa"/>
            <w:vAlign w:val="center"/>
            <w:hideMark/>
          </w:tcPr>
          <w:p w14:paraId="1897C47B" w14:textId="77777777" w:rsidR="001A4A95" w:rsidRDefault="001A4A95" w:rsidP="00517C9A">
            <w:pPr>
              <w:jc w:val="center"/>
              <w:rPr>
                <w:rFonts w:eastAsia="Times New Roman"/>
                <w:color w:val="000000"/>
                <w:sz w:val="16"/>
                <w:szCs w:val="16"/>
              </w:rPr>
            </w:pPr>
            <w:r>
              <w:rPr>
                <w:rFonts w:eastAsia="Times New Roman"/>
                <w:color w:val="000000"/>
                <w:sz w:val="16"/>
                <w:szCs w:val="16"/>
              </w:rPr>
              <w:t>$</w:t>
            </w:r>
          </w:p>
        </w:tc>
        <w:tc>
          <w:tcPr>
            <w:tcW w:w="1010" w:type="dxa"/>
            <w:vAlign w:val="center"/>
            <w:hideMark/>
          </w:tcPr>
          <w:p w14:paraId="115970B0" w14:textId="77777777" w:rsidR="001A4A95" w:rsidRDefault="001A4A95" w:rsidP="00517C9A">
            <w:pPr>
              <w:jc w:val="center"/>
              <w:rPr>
                <w:rFonts w:eastAsia="Times New Roman"/>
                <w:color w:val="000000"/>
                <w:sz w:val="16"/>
                <w:szCs w:val="16"/>
              </w:rPr>
            </w:pPr>
            <w:r>
              <w:rPr>
                <w:rFonts w:eastAsia="Times New Roman"/>
                <w:color w:val="000000"/>
                <w:sz w:val="16"/>
                <w:szCs w:val="16"/>
              </w:rPr>
              <w:t>13.945</w:t>
            </w:r>
          </w:p>
        </w:tc>
        <w:tc>
          <w:tcPr>
            <w:tcW w:w="1010" w:type="dxa"/>
            <w:vAlign w:val="center"/>
            <w:hideMark/>
          </w:tcPr>
          <w:p w14:paraId="2F44C6C9" w14:textId="77777777" w:rsidR="001A4A95" w:rsidRDefault="001A4A95" w:rsidP="00517C9A">
            <w:pPr>
              <w:jc w:val="center"/>
              <w:rPr>
                <w:rFonts w:eastAsia="Times New Roman"/>
                <w:color w:val="000000"/>
                <w:sz w:val="16"/>
                <w:szCs w:val="16"/>
              </w:rPr>
            </w:pPr>
            <w:r>
              <w:rPr>
                <w:rFonts w:eastAsia="Times New Roman"/>
                <w:color w:val="000000"/>
                <w:sz w:val="16"/>
                <w:szCs w:val="16"/>
              </w:rPr>
              <w:t>15.470</w:t>
            </w:r>
          </w:p>
        </w:tc>
        <w:tc>
          <w:tcPr>
            <w:tcW w:w="1011" w:type="dxa"/>
            <w:vAlign w:val="center"/>
            <w:hideMark/>
          </w:tcPr>
          <w:p w14:paraId="7C8AE55B" w14:textId="77777777" w:rsidR="001A4A95" w:rsidRDefault="001A4A95" w:rsidP="00517C9A">
            <w:pPr>
              <w:jc w:val="center"/>
              <w:rPr>
                <w:rFonts w:eastAsia="Times New Roman"/>
                <w:color w:val="000000"/>
                <w:sz w:val="16"/>
                <w:szCs w:val="16"/>
              </w:rPr>
            </w:pPr>
            <w:r>
              <w:rPr>
                <w:rFonts w:eastAsia="Times New Roman"/>
                <w:color w:val="000000"/>
                <w:sz w:val="16"/>
                <w:szCs w:val="16"/>
              </w:rPr>
              <w:t>17.223</w:t>
            </w:r>
          </w:p>
        </w:tc>
        <w:tc>
          <w:tcPr>
            <w:tcW w:w="1011" w:type="dxa"/>
            <w:vAlign w:val="center"/>
            <w:hideMark/>
          </w:tcPr>
          <w:p w14:paraId="778DDA2D" w14:textId="77777777" w:rsidR="001A4A95" w:rsidRDefault="001A4A95" w:rsidP="00517C9A">
            <w:pPr>
              <w:jc w:val="center"/>
              <w:rPr>
                <w:rFonts w:eastAsia="Times New Roman"/>
                <w:color w:val="000000"/>
                <w:sz w:val="16"/>
                <w:szCs w:val="16"/>
              </w:rPr>
            </w:pPr>
            <w:r>
              <w:rPr>
                <w:rFonts w:eastAsia="Times New Roman"/>
                <w:color w:val="000000"/>
                <w:sz w:val="16"/>
                <w:szCs w:val="16"/>
              </w:rPr>
              <w:t>19.435</w:t>
            </w:r>
          </w:p>
        </w:tc>
        <w:tc>
          <w:tcPr>
            <w:tcW w:w="1011" w:type="dxa"/>
            <w:vAlign w:val="center"/>
            <w:hideMark/>
          </w:tcPr>
          <w:p w14:paraId="17F7F5F3" w14:textId="77777777" w:rsidR="001A4A95" w:rsidRDefault="001A4A95" w:rsidP="00517C9A">
            <w:pPr>
              <w:jc w:val="center"/>
              <w:rPr>
                <w:rFonts w:eastAsia="Times New Roman"/>
                <w:color w:val="000000"/>
                <w:sz w:val="16"/>
                <w:szCs w:val="16"/>
              </w:rPr>
            </w:pPr>
            <w:r>
              <w:rPr>
                <w:rFonts w:eastAsia="Times New Roman"/>
                <w:color w:val="000000"/>
                <w:sz w:val="16"/>
                <w:szCs w:val="16"/>
              </w:rPr>
              <w:t>24.357</w:t>
            </w:r>
          </w:p>
        </w:tc>
        <w:tc>
          <w:tcPr>
            <w:tcW w:w="1011" w:type="dxa"/>
            <w:vAlign w:val="center"/>
            <w:hideMark/>
          </w:tcPr>
          <w:p w14:paraId="1EA319A9" w14:textId="77777777" w:rsidR="001A4A95" w:rsidRDefault="001A4A95" w:rsidP="00517C9A">
            <w:pPr>
              <w:jc w:val="center"/>
              <w:rPr>
                <w:rFonts w:eastAsia="Times New Roman"/>
                <w:color w:val="000000"/>
                <w:sz w:val="16"/>
                <w:szCs w:val="16"/>
              </w:rPr>
            </w:pPr>
            <w:r>
              <w:rPr>
                <w:rFonts w:eastAsia="Times New Roman"/>
                <w:color w:val="000000"/>
                <w:sz w:val="16"/>
                <w:szCs w:val="16"/>
              </w:rPr>
              <w:t>30.379</w:t>
            </w:r>
          </w:p>
        </w:tc>
        <w:tc>
          <w:tcPr>
            <w:tcW w:w="1011" w:type="dxa"/>
            <w:vAlign w:val="center"/>
            <w:hideMark/>
          </w:tcPr>
          <w:p w14:paraId="721C2C94" w14:textId="77777777" w:rsidR="001A4A95" w:rsidRDefault="001A4A95" w:rsidP="00517C9A">
            <w:pPr>
              <w:jc w:val="center"/>
              <w:rPr>
                <w:rFonts w:eastAsia="Times New Roman"/>
                <w:color w:val="000000"/>
                <w:sz w:val="16"/>
                <w:szCs w:val="16"/>
              </w:rPr>
            </w:pPr>
            <w:r>
              <w:rPr>
                <w:rFonts w:eastAsia="Times New Roman"/>
                <w:color w:val="000000"/>
                <w:sz w:val="16"/>
                <w:szCs w:val="16"/>
              </w:rPr>
              <w:t>36.575</w:t>
            </w:r>
          </w:p>
        </w:tc>
        <w:tc>
          <w:tcPr>
            <w:tcW w:w="1011" w:type="dxa"/>
            <w:vAlign w:val="center"/>
            <w:hideMark/>
          </w:tcPr>
          <w:p w14:paraId="3DE70ED8" w14:textId="77777777" w:rsidR="001A4A95" w:rsidRDefault="001A4A95" w:rsidP="00517C9A">
            <w:pPr>
              <w:jc w:val="center"/>
              <w:rPr>
                <w:rFonts w:eastAsia="Times New Roman"/>
                <w:color w:val="000000"/>
                <w:sz w:val="16"/>
                <w:szCs w:val="16"/>
              </w:rPr>
            </w:pPr>
            <w:r>
              <w:rPr>
                <w:rFonts w:eastAsia="Times New Roman"/>
                <w:color w:val="000000"/>
                <w:sz w:val="16"/>
                <w:szCs w:val="16"/>
              </w:rPr>
              <w:t>43.785</w:t>
            </w:r>
          </w:p>
        </w:tc>
      </w:tr>
      <w:tr w:rsidR="001A4A95" w14:paraId="0308497C" w14:textId="77777777" w:rsidTr="00517C9A">
        <w:trPr>
          <w:trHeight w:val="321"/>
          <w:jc w:val="center"/>
        </w:trPr>
        <w:tc>
          <w:tcPr>
            <w:tcW w:w="3005" w:type="dxa"/>
            <w:vAlign w:val="center"/>
            <w:hideMark/>
          </w:tcPr>
          <w:p w14:paraId="52C9BC0B" w14:textId="77777777" w:rsidR="001A4A95" w:rsidRDefault="001A4A95" w:rsidP="00517C9A">
            <w:pPr>
              <w:rPr>
                <w:rFonts w:eastAsia="Times New Roman"/>
                <w:color w:val="000000"/>
                <w:sz w:val="16"/>
                <w:szCs w:val="16"/>
              </w:rPr>
            </w:pPr>
            <w:r>
              <w:rPr>
                <w:rFonts w:eastAsia="Times New Roman"/>
                <w:color w:val="000000"/>
                <w:sz w:val="16"/>
                <w:szCs w:val="16"/>
              </w:rPr>
              <w:t>ITF promedio del hogar pobre (b)</w:t>
            </w:r>
          </w:p>
        </w:tc>
        <w:tc>
          <w:tcPr>
            <w:tcW w:w="279" w:type="dxa"/>
            <w:vAlign w:val="center"/>
            <w:hideMark/>
          </w:tcPr>
          <w:p w14:paraId="203FCDEF" w14:textId="77777777" w:rsidR="001A4A95" w:rsidRDefault="001A4A95" w:rsidP="00517C9A">
            <w:pPr>
              <w:jc w:val="center"/>
              <w:rPr>
                <w:rFonts w:eastAsia="Times New Roman"/>
                <w:color w:val="000000"/>
                <w:sz w:val="16"/>
                <w:szCs w:val="16"/>
              </w:rPr>
            </w:pPr>
            <w:r>
              <w:rPr>
                <w:rFonts w:eastAsia="Times New Roman"/>
                <w:color w:val="000000"/>
                <w:sz w:val="16"/>
                <w:szCs w:val="16"/>
              </w:rPr>
              <w:t>$</w:t>
            </w:r>
          </w:p>
        </w:tc>
        <w:tc>
          <w:tcPr>
            <w:tcW w:w="1010" w:type="dxa"/>
            <w:vAlign w:val="center"/>
            <w:hideMark/>
          </w:tcPr>
          <w:p w14:paraId="4ACC1ECB" w14:textId="77777777" w:rsidR="001A4A95" w:rsidRDefault="001A4A95" w:rsidP="00517C9A">
            <w:pPr>
              <w:jc w:val="center"/>
              <w:rPr>
                <w:rFonts w:eastAsia="Times New Roman"/>
                <w:color w:val="000000"/>
                <w:sz w:val="16"/>
                <w:szCs w:val="16"/>
              </w:rPr>
            </w:pPr>
            <w:r>
              <w:rPr>
                <w:rFonts w:eastAsia="Times New Roman"/>
                <w:color w:val="000000"/>
                <w:sz w:val="16"/>
                <w:szCs w:val="16"/>
              </w:rPr>
              <w:t>8.789</w:t>
            </w:r>
          </w:p>
        </w:tc>
        <w:tc>
          <w:tcPr>
            <w:tcW w:w="1010" w:type="dxa"/>
            <w:vAlign w:val="center"/>
            <w:hideMark/>
          </w:tcPr>
          <w:p w14:paraId="13C62AD7" w14:textId="77777777" w:rsidR="001A4A95" w:rsidRDefault="001A4A95" w:rsidP="00517C9A">
            <w:pPr>
              <w:jc w:val="center"/>
              <w:rPr>
                <w:rFonts w:eastAsia="Times New Roman"/>
                <w:color w:val="000000"/>
                <w:sz w:val="16"/>
                <w:szCs w:val="16"/>
              </w:rPr>
            </w:pPr>
            <w:r>
              <w:rPr>
                <w:rFonts w:eastAsia="Times New Roman"/>
                <w:color w:val="000000"/>
                <w:sz w:val="16"/>
                <w:szCs w:val="16"/>
              </w:rPr>
              <w:t>9.643</w:t>
            </w:r>
          </w:p>
        </w:tc>
        <w:tc>
          <w:tcPr>
            <w:tcW w:w="1011" w:type="dxa"/>
            <w:vAlign w:val="center"/>
            <w:hideMark/>
          </w:tcPr>
          <w:p w14:paraId="34662C75" w14:textId="77777777" w:rsidR="001A4A95" w:rsidRDefault="001A4A95" w:rsidP="00517C9A">
            <w:pPr>
              <w:jc w:val="center"/>
              <w:rPr>
                <w:rFonts w:eastAsia="Times New Roman"/>
                <w:color w:val="000000"/>
                <w:sz w:val="16"/>
                <w:szCs w:val="16"/>
              </w:rPr>
            </w:pPr>
            <w:r>
              <w:rPr>
                <w:rFonts w:eastAsia="Times New Roman"/>
                <w:color w:val="000000"/>
                <w:sz w:val="16"/>
                <w:szCs w:val="16"/>
              </w:rPr>
              <w:t>11.114</w:t>
            </w:r>
          </w:p>
        </w:tc>
        <w:tc>
          <w:tcPr>
            <w:tcW w:w="1011" w:type="dxa"/>
            <w:vAlign w:val="center"/>
            <w:hideMark/>
          </w:tcPr>
          <w:p w14:paraId="4EC460BD" w14:textId="77777777" w:rsidR="001A4A95" w:rsidRDefault="001A4A95" w:rsidP="00517C9A">
            <w:pPr>
              <w:jc w:val="center"/>
              <w:rPr>
                <w:rFonts w:eastAsia="Times New Roman"/>
                <w:color w:val="000000"/>
                <w:sz w:val="16"/>
                <w:szCs w:val="16"/>
              </w:rPr>
            </w:pPr>
            <w:r>
              <w:rPr>
                <w:rFonts w:eastAsia="Times New Roman"/>
                <w:color w:val="000000"/>
                <w:sz w:val="16"/>
                <w:szCs w:val="16"/>
              </w:rPr>
              <w:t>12.397</w:t>
            </w:r>
          </w:p>
        </w:tc>
        <w:tc>
          <w:tcPr>
            <w:tcW w:w="1011" w:type="dxa"/>
            <w:vAlign w:val="center"/>
            <w:hideMark/>
          </w:tcPr>
          <w:p w14:paraId="5EC02380" w14:textId="77777777" w:rsidR="001A4A95" w:rsidRDefault="001A4A95" w:rsidP="00517C9A">
            <w:pPr>
              <w:jc w:val="center"/>
              <w:rPr>
                <w:rFonts w:eastAsia="Times New Roman"/>
                <w:color w:val="000000"/>
                <w:sz w:val="16"/>
                <w:szCs w:val="16"/>
              </w:rPr>
            </w:pPr>
            <w:r>
              <w:rPr>
                <w:rFonts w:eastAsia="Times New Roman"/>
                <w:color w:val="000000"/>
                <w:sz w:val="16"/>
                <w:szCs w:val="16"/>
              </w:rPr>
              <w:t>14.872</w:t>
            </w:r>
          </w:p>
        </w:tc>
        <w:tc>
          <w:tcPr>
            <w:tcW w:w="1011" w:type="dxa"/>
            <w:vAlign w:val="center"/>
            <w:hideMark/>
          </w:tcPr>
          <w:p w14:paraId="0C1ED479" w14:textId="77777777" w:rsidR="001A4A95" w:rsidRDefault="001A4A95" w:rsidP="00517C9A">
            <w:pPr>
              <w:jc w:val="center"/>
              <w:rPr>
                <w:rFonts w:eastAsia="Times New Roman"/>
                <w:color w:val="000000"/>
                <w:sz w:val="16"/>
                <w:szCs w:val="16"/>
              </w:rPr>
            </w:pPr>
            <w:r>
              <w:rPr>
                <w:rFonts w:eastAsia="Times New Roman"/>
                <w:color w:val="000000"/>
                <w:sz w:val="16"/>
                <w:szCs w:val="16"/>
              </w:rPr>
              <w:t>18.437</w:t>
            </w:r>
          </w:p>
        </w:tc>
        <w:tc>
          <w:tcPr>
            <w:tcW w:w="1011" w:type="dxa"/>
            <w:vAlign w:val="center"/>
            <w:hideMark/>
          </w:tcPr>
          <w:p w14:paraId="15C9D9CF" w14:textId="77777777" w:rsidR="001A4A95" w:rsidRDefault="001A4A95" w:rsidP="00517C9A">
            <w:pPr>
              <w:jc w:val="center"/>
              <w:rPr>
                <w:rFonts w:eastAsia="Times New Roman"/>
                <w:color w:val="000000"/>
                <w:sz w:val="16"/>
                <w:szCs w:val="16"/>
              </w:rPr>
            </w:pPr>
            <w:r>
              <w:rPr>
                <w:rFonts w:eastAsia="Times New Roman"/>
                <w:color w:val="000000"/>
                <w:sz w:val="16"/>
                <w:szCs w:val="16"/>
              </w:rPr>
              <w:t>22.023</w:t>
            </w:r>
          </w:p>
        </w:tc>
        <w:tc>
          <w:tcPr>
            <w:tcW w:w="1011" w:type="dxa"/>
            <w:vAlign w:val="center"/>
            <w:hideMark/>
          </w:tcPr>
          <w:p w14:paraId="7BB5A859" w14:textId="77777777" w:rsidR="001A4A95" w:rsidRDefault="001A4A95" w:rsidP="00517C9A">
            <w:pPr>
              <w:jc w:val="center"/>
              <w:rPr>
                <w:rFonts w:eastAsia="Times New Roman"/>
                <w:color w:val="000000"/>
                <w:sz w:val="16"/>
                <w:szCs w:val="16"/>
              </w:rPr>
            </w:pPr>
            <w:r>
              <w:rPr>
                <w:rFonts w:eastAsia="Times New Roman"/>
                <w:color w:val="000000"/>
                <w:sz w:val="16"/>
                <w:szCs w:val="16"/>
              </w:rPr>
              <w:t>25.759</w:t>
            </w:r>
          </w:p>
        </w:tc>
      </w:tr>
      <w:tr w:rsidR="001A4A95" w14:paraId="7A977BD6" w14:textId="77777777" w:rsidTr="00517C9A">
        <w:trPr>
          <w:trHeight w:val="498"/>
          <w:jc w:val="center"/>
        </w:trPr>
        <w:tc>
          <w:tcPr>
            <w:tcW w:w="3005" w:type="dxa"/>
            <w:noWrap/>
            <w:vAlign w:val="center"/>
            <w:hideMark/>
          </w:tcPr>
          <w:p w14:paraId="6FF7C3EE" w14:textId="77777777" w:rsidR="001A4A95" w:rsidRDefault="001A4A95" w:rsidP="00517C9A">
            <w:pPr>
              <w:rPr>
                <w:rFonts w:eastAsia="Times New Roman"/>
                <w:color w:val="000000"/>
                <w:sz w:val="16"/>
                <w:szCs w:val="16"/>
              </w:rPr>
            </w:pPr>
            <w:r>
              <w:rPr>
                <w:rFonts w:eastAsia="Times New Roman"/>
                <w:color w:val="000000"/>
                <w:sz w:val="16"/>
                <w:szCs w:val="16"/>
              </w:rPr>
              <w:t>Brecha monetaria promedio de los hogares pobres (b-a)</w:t>
            </w:r>
          </w:p>
        </w:tc>
        <w:tc>
          <w:tcPr>
            <w:tcW w:w="279" w:type="dxa"/>
            <w:noWrap/>
            <w:vAlign w:val="center"/>
            <w:hideMark/>
          </w:tcPr>
          <w:p w14:paraId="0F246FE9" w14:textId="77777777" w:rsidR="001A4A95" w:rsidRDefault="001A4A95" w:rsidP="00517C9A">
            <w:pPr>
              <w:jc w:val="center"/>
              <w:rPr>
                <w:rFonts w:eastAsia="Times New Roman"/>
                <w:color w:val="000000"/>
                <w:sz w:val="16"/>
                <w:szCs w:val="16"/>
              </w:rPr>
            </w:pPr>
            <w:r>
              <w:rPr>
                <w:rFonts w:eastAsia="Times New Roman"/>
                <w:color w:val="000000"/>
                <w:sz w:val="16"/>
                <w:szCs w:val="16"/>
              </w:rPr>
              <w:t>$</w:t>
            </w:r>
          </w:p>
        </w:tc>
        <w:tc>
          <w:tcPr>
            <w:tcW w:w="1010" w:type="dxa"/>
            <w:vAlign w:val="center"/>
            <w:hideMark/>
          </w:tcPr>
          <w:p w14:paraId="03E5FE29" w14:textId="77777777" w:rsidR="001A4A95" w:rsidRDefault="001A4A95" w:rsidP="00517C9A">
            <w:pPr>
              <w:jc w:val="center"/>
              <w:rPr>
                <w:rFonts w:eastAsia="Times New Roman"/>
                <w:color w:val="000000"/>
                <w:sz w:val="16"/>
                <w:szCs w:val="16"/>
              </w:rPr>
            </w:pPr>
            <w:r>
              <w:rPr>
                <w:rFonts w:eastAsia="Times New Roman"/>
                <w:color w:val="000000"/>
                <w:sz w:val="16"/>
                <w:szCs w:val="16"/>
              </w:rPr>
              <w:t>-5.156</w:t>
            </w:r>
          </w:p>
        </w:tc>
        <w:tc>
          <w:tcPr>
            <w:tcW w:w="1010" w:type="dxa"/>
            <w:vAlign w:val="center"/>
            <w:hideMark/>
          </w:tcPr>
          <w:p w14:paraId="29542D6F" w14:textId="77777777" w:rsidR="001A4A95" w:rsidRDefault="001A4A95" w:rsidP="00517C9A">
            <w:pPr>
              <w:jc w:val="center"/>
              <w:rPr>
                <w:rFonts w:eastAsia="Times New Roman"/>
                <w:color w:val="000000"/>
                <w:sz w:val="16"/>
                <w:szCs w:val="16"/>
              </w:rPr>
            </w:pPr>
            <w:r>
              <w:rPr>
                <w:rFonts w:eastAsia="Times New Roman"/>
                <w:color w:val="000000"/>
                <w:sz w:val="16"/>
                <w:szCs w:val="16"/>
              </w:rPr>
              <w:t>-5.827</w:t>
            </w:r>
          </w:p>
        </w:tc>
        <w:tc>
          <w:tcPr>
            <w:tcW w:w="1011" w:type="dxa"/>
            <w:vAlign w:val="center"/>
            <w:hideMark/>
          </w:tcPr>
          <w:p w14:paraId="1D5FBA31" w14:textId="77777777" w:rsidR="001A4A95" w:rsidRDefault="001A4A95" w:rsidP="00517C9A">
            <w:pPr>
              <w:jc w:val="center"/>
              <w:rPr>
                <w:rFonts w:eastAsia="Times New Roman"/>
                <w:color w:val="000000"/>
                <w:sz w:val="16"/>
                <w:szCs w:val="16"/>
              </w:rPr>
            </w:pPr>
            <w:r>
              <w:rPr>
                <w:rFonts w:eastAsia="Times New Roman"/>
                <w:color w:val="000000"/>
                <w:sz w:val="16"/>
                <w:szCs w:val="16"/>
              </w:rPr>
              <w:t>-6.109</w:t>
            </w:r>
          </w:p>
        </w:tc>
        <w:tc>
          <w:tcPr>
            <w:tcW w:w="1011" w:type="dxa"/>
            <w:vAlign w:val="center"/>
            <w:hideMark/>
          </w:tcPr>
          <w:p w14:paraId="7C76AC7C" w14:textId="77777777" w:rsidR="001A4A95" w:rsidRDefault="001A4A95" w:rsidP="00517C9A">
            <w:pPr>
              <w:jc w:val="center"/>
              <w:rPr>
                <w:rFonts w:eastAsia="Times New Roman"/>
                <w:color w:val="000000"/>
                <w:sz w:val="16"/>
                <w:szCs w:val="16"/>
              </w:rPr>
            </w:pPr>
            <w:r>
              <w:rPr>
                <w:rFonts w:eastAsia="Times New Roman"/>
                <w:color w:val="000000"/>
                <w:sz w:val="16"/>
                <w:szCs w:val="16"/>
              </w:rPr>
              <w:t>-7.038</w:t>
            </w:r>
          </w:p>
        </w:tc>
        <w:tc>
          <w:tcPr>
            <w:tcW w:w="1011" w:type="dxa"/>
            <w:vAlign w:val="center"/>
            <w:hideMark/>
          </w:tcPr>
          <w:p w14:paraId="6FC40436" w14:textId="77777777" w:rsidR="001A4A95" w:rsidRDefault="001A4A95" w:rsidP="00517C9A">
            <w:pPr>
              <w:jc w:val="center"/>
              <w:rPr>
                <w:rFonts w:eastAsia="Times New Roman"/>
                <w:color w:val="000000"/>
                <w:sz w:val="16"/>
                <w:szCs w:val="16"/>
              </w:rPr>
            </w:pPr>
            <w:r>
              <w:rPr>
                <w:rFonts w:eastAsia="Times New Roman"/>
                <w:color w:val="000000"/>
                <w:sz w:val="16"/>
                <w:szCs w:val="16"/>
              </w:rPr>
              <w:t>-9.485</w:t>
            </w:r>
          </w:p>
        </w:tc>
        <w:tc>
          <w:tcPr>
            <w:tcW w:w="1011" w:type="dxa"/>
            <w:vAlign w:val="center"/>
            <w:hideMark/>
          </w:tcPr>
          <w:p w14:paraId="4DE26C80" w14:textId="77777777" w:rsidR="001A4A95" w:rsidRDefault="001A4A95" w:rsidP="00517C9A">
            <w:pPr>
              <w:jc w:val="center"/>
              <w:rPr>
                <w:rFonts w:eastAsia="Times New Roman"/>
                <w:color w:val="000000"/>
                <w:sz w:val="16"/>
                <w:szCs w:val="16"/>
              </w:rPr>
            </w:pPr>
            <w:r>
              <w:rPr>
                <w:rFonts w:eastAsia="Times New Roman"/>
                <w:color w:val="000000"/>
                <w:sz w:val="16"/>
                <w:szCs w:val="16"/>
              </w:rPr>
              <w:t>-11.942</w:t>
            </w:r>
          </w:p>
        </w:tc>
        <w:tc>
          <w:tcPr>
            <w:tcW w:w="1011" w:type="dxa"/>
            <w:vAlign w:val="center"/>
            <w:hideMark/>
          </w:tcPr>
          <w:p w14:paraId="02693F19" w14:textId="77777777" w:rsidR="001A4A95" w:rsidRDefault="001A4A95" w:rsidP="00517C9A">
            <w:pPr>
              <w:jc w:val="center"/>
              <w:rPr>
                <w:rFonts w:eastAsia="Times New Roman"/>
                <w:color w:val="000000"/>
                <w:sz w:val="16"/>
                <w:szCs w:val="16"/>
              </w:rPr>
            </w:pPr>
            <w:r>
              <w:rPr>
                <w:rFonts w:eastAsia="Times New Roman"/>
                <w:color w:val="000000"/>
                <w:sz w:val="16"/>
                <w:szCs w:val="16"/>
              </w:rPr>
              <w:t>-14.552</w:t>
            </w:r>
          </w:p>
        </w:tc>
        <w:tc>
          <w:tcPr>
            <w:tcW w:w="1011" w:type="dxa"/>
            <w:vAlign w:val="center"/>
            <w:hideMark/>
          </w:tcPr>
          <w:p w14:paraId="1AA65855" w14:textId="77777777" w:rsidR="001A4A95" w:rsidRDefault="001A4A95" w:rsidP="00517C9A">
            <w:pPr>
              <w:jc w:val="center"/>
              <w:rPr>
                <w:rFonts w:eastAsia="Times New Roman"/>
                <w:color w:val="000000"/>
                <w:sz w:val="16"/>
                <w:szCs w:val="16"/>
              </w:rPr>
            </w:pPr>
            <w:r>
              <w:rPr>
                <w:rFonts w:eastAsia="Times New Roman"/>
                <w:color w:val="000000"/>
                <w:sz w:val="16"/>
                <w:szCs w:val="16"/>
              </w:rPr>
              <w:t>-18.026</w:t>
            </w:r>
          </w:p>
        </w:tc>
      </w:tr>
      <w:tr w:rsidR="001A4A95" w14:paraId="59478656" w14:textId="77777777" w:rsidTr="00517C9A">
        <w:trPr>
          <w:trHeight w:val="458"/>
          <w:jc w:val="center"/>
        </w:trPr>
        <w:tc>
          <w:tcPr>
            <w:tcW w:w="3005" w:type="dxa"/>
            <w:tcBorders>
              <w:top w:val="nil"/>
              <w:left w:val="nil"/>
              <w:bottom w:val="single" w:sz="4" w:space="0" w:color="auto"/>
              <w:right w:val="nil"/>
            </w:tcBorders>
            <w:noWrap/>
            <w:vAlign w:val="center"/>
            <w:hideMark/>
          </w:tcPr>
          <w:p w14:paraId="2076B21C" w14:textId="77777777" w:rsidR="001A4A95" w:rsidRDefault="001A4A95" w:rsidP="00517C9A">
            <w:pPr>
              <w:rPr>
                <w:rFonts w:eastAsia="Times New Roman"/>
                <w:color w:val="000000"/>
                <w:sz w:val="16"/>
                <w:szCs w:val="16"/>
              </w:rPr>
            </w:pPr>
            <w:r>
              <w:rPr>
                <w:rFonts w:eastAsia="Times New Roman"/>
                <w:color w:val="000000"/>
                <w:sz w:val="16"/>
                <w:szCs w:val="16"/>
              </w:rPr>
              <w:t>Brecha porcentual promedio de los hogares pobres (b-</w:t>
            </w:r>
            <w:proofErr w:type="gramStart"/>
            <w:r>
              <w:rPr>
                <w:rFonts w:eastAsia="Times New Roman"/>
                <w:color w:val="000000"/>
                <w:sz w:val="16"/>
                <w:szCs w:val="16"/>
              </w:rPr>
              <w:t>a)/</w:t>
            </w:r>
            <w:proofErr w:type="gramEnd"/>
            <w:r>
              <w:rPr>
                <w:rFonts w:eastAsia="Times New Roman"/>
                <w:color w:val="000000"/>
                <w:sz w:val="16"/>
                <w:szCs w:val="16"/>
              </w:rPr>
              <w:t>a</w:t>
            </w:r>
          </w:p>
        </w:tc>
        <w:tc>
          <w:tcPr>
            <w:tcW w:w="279" w:type="dxa"/>
            <w:tcBorders>
              <w:top w:val="nil"/>
              <w:left w:val="nil"/>
              <w:bottom w:val="single" w:sz="4" w:space="0" w:color="auto"/>
              <w:right w:val="nil"/>
            </w:tcBorders>
            <w:noWrap/>
            <w:vAlign w:val="center"/>
            <w:hideMark/>
          </w:tcPr>
          <w:p w14:paraId="049BAF45" w14:textId="77777777" w:rsidR="001A4A95" w:rsidRDefault="001A4A95" w:rsidP="00517C9A">
            <w:pPr>
              <w:jc w:val="center"/>
              <w:rPr>
                <w:rFonts w:eastAsia="Times New Roman"/>
                <w:color w:val="000000"/>
                <w:sz w:val="16"/>
                <w:szCs w:val="16"/>
              </w:rPr>
            </w:pPr>
            <w:r>
              <w:rPr>
                <w:rFonts w:eastAsia="Times New Roman"/>
                <w:color w:val="000000"/>
                <w:sz w:val="16"/>
                <w:szCs w:val="16"/>
              </w:rPr>
              <w:t>%</w:t>
            </w:r>
          </w:p>
        </w:tc>
        <w:tc>
          <w:tcPr>
            <w:tcW w:w="1010" w:type="dxa"/>
            <w:tcBorders>
              <w:top w:val="nil"/>
              <w:left w:val="nil"/>
              <w:bottom w:val="single" w:sz="4" w:space="0" w:color="auto"/>
              <w:right w:val="nil"/>
            </w:tcBorders>
            <w:vAlign w:val="center"/>
            <w:hideMark/>
          </w:tcPr>
          <w:p w14:paraId="639FAE66" w14:textId="77777777" w:rsidR="001A4A95" w:rsidRDefault="001A4A95" w:rsidP="00517C9A">
            <w:pPr>
              <w:jc w:val="center"/>
              <w:rPr>
                <w:rFonts w:eastAsia="Times New Roman"/>
                <w:color w:val="000000"/>
                <w:sz w:val="16"/>
                <w:szCs w:val="16"/>
              </w:rPr>
            </w:pPr>
            <w:r>
              <w:rPr>
                <w:rFonts w:eastAsia="Times New Roman"/>
                <w:color w:val="000000"/>
                <w:sz w:val="16"/>
                <w:szCs w:val="16"/>
              </w:rPr>
              <w:t>37</w:t>
            </w:r>
          </w:p>
        </w:tc>
        <w:tc>
          <w:tcPr>
            <w:tcW w:w="1010" w:type="dxa"/>
            <w:tcBorders>
              <w:top w:val="nil"/>
              <w:left w:val="nil"/>
              <w:bottom w:val="single" w:sz="4" w:space="0" w:color="auto"/>
              <w:right w:val="nil"/>
            </w:tcBorders>
            <w:vAlign w:val="center"/>
            <w:hideMark/>
          </w:tcPr>
          <w:p w14:paraId="7FF27211" w14:textId="77777777" w:rsidR="001A4A95" w:rsidRDefault="001A4A95" w:rsidP="00517C9A">
            <w:pPr>
              <w:jc w:val="center"/>
              <w:rPr>
                <w:rFonts w:eastAsia="Times New Roman"/>
                <w:color w:val="000000"/>
                <w:sz w:val="16"/>
                <w:szCs w:val="16"/>
              </w:rPr>
            </w:pPr>
            <w:r>
              <w:rPr>
                <w:rFonts w:eastAsia="Times New Roman"/>
                <w:color w:val="000000"/>
                <w:sz w:val="16"/>
                <w:szCs w:val="16"/>
              </w:rPr>
              <w:t>37,7</w:t>
            </w:r>
          </w:p>
        </w:tc>
        <w:tc>
          <w:tcPr>
            <w:tcW w:w="1011" w:type="dxa"/>
            <w:tcBorders>
              <w:top w:val="nil"/>
              <w:left w:val="nil"/>
              <w:bottom w:val="single" w:sz="4" w:space="0" w:color="auto"/>
              <w:right w:val="nil"/>
            </w:tcBorders>
            <w:vAlign w:val="center"/>
            <w:hideMark/>
          </w:tcPr>
          <w:p w14:paraId="130EEF6A" w14:textId="77777777" w:rsidR="001A4A95" w:rsidRDefault="001A4A95" w:rsidP="00517C9A">
            <w:pPr>
              <w:jc w:val="center"/>
              <w:rPr>
                <w:rFonts w:eastAsia="Times New Roman"/>
                <w:color w:val="000000"/>
                <w:sz w:val="16"/>
                <w:szCs w:val="16"/>
              </w:rPr>
            </w:pPr>
            <w:r>
              <w:rPr>
                <w:rFonts w:eastAsia="Times New Roman"/>
                <w:color w:val="000000"/>
                <w:sz w:val="16"/>
                <w:szCs w:val="16"/>
              </w:rPr>
              <w:t>35,5</w:t>
            </w:r>
          </w:p>
        </w:tc>
        <w:tc>
          <w:tcPr>
            <w:tcW w:w="1011" w:type="dxa"/>
            <w:tcBorders>
              <w:top w:val="nil"/>
              <w:left w:val="nil"/>
              <w:bottom w:val="single" w:sz="4" w:space="0" w:color="auto"/>
              <w:right w:val="nil"/>
            </w:tcBorders>
            <w:vAlign w:val="center"/>
            <w:hideMark/>
          </w:tcPr>
          <w:p w14:paraId="3F036516" w14:textId="77777777" w:rsidR="001A4A95" w:rsidRDefault="001A4A95" w:rsidP="00517C9A">
            <w:pPr>
              <w:jc w:val="center"/>
              <w:rPr>
                <w:rFonts w:eastAsia="Times New Roman"/>
                <w:color w:val="000000"/>
                <w:sz w:val="16"/>
                <w:szCs w:val="16"/>
              </w:rPr>
            </w:pPr>
            <w:r>
              <w:rPr>
                <w:rFonts w:eastAsia="Times New Roman"/>
                <w:color w:val="000000"/>
                <w:sz w:val="16"/>
                <w:szCs w:val="16"/>
              </w:rPr>
              <w:t>36,2</w:t>
            </w:r>
          </w:p>
        </w:tc>
        <w:tc>
          <w:tcPr>
            <w:tcW w:w="1011" w:type="dxa"/>
            <w:tcBorders>
              <w:top w:val="nil"/>
              <w:left w:val="nil"/>
              <w:bottom w:val="single" w:sz="4" w:space="0" w:color="auto"/>
              <w:right w:val="nil"/>
            </w:tcBorders>
            <w:vAlign w:val="center"/>
            <w:hideMark/>
          </w:tcPr>
          <w:p w14:paraId="0049E3F3" w14:textId="77777777" w:rsidR="001A4A95" w:rsidRDefault="001A4A95" w:rsidP="00517C9A">
            <w:pPr>
              <w:jc w:val="center"/>
              <w:rPr>
                <w:rFonts w:eastAsia="Times New Roman"/>
                <w:color w:val="000000"/>
                <w:sz w:val="16"/>
                <w:szCs w:val="16"/>
              </w:rPr>
            </w:pPr>
            <w:r>
              <w:rPr>
                <w:rFonts w:eastAsia="Times New Roman"/>
                <w:color w:val="000000"/>
                <w:sz w:val="16"/>
                <w:szCs w:val="16"/>
              </w:rPr>
              <w:t>38,9</w:t>
            </w:r>
          </w:p>
        </w:tc>
        <w:tc>
          <w:tcPr>
            <w:tcW w:w="1011" w:type="dxa"/>
            <w:tcBorders>
              <w:top w:val="nil"/>
              <w:left w:val="nil"/>
              <w:bottom w:val="single" w:sz="4" w:space="0" w:color="auto"/>
              <w:right w:val="nil"/>
            </w:tcBorders>
            <w:vAlign w:val="center"/>
            <w:hideMark/>
          </w:tcPr>
          <w:p w14:paraId="2DBA846C" w14:textId="77777777" w:rsidR="001A4A95" w:rsidRDefault="001A4A95" w:rsidP="00517C9A">
            <w:pPr>
              <w:jc w:val="center"/>
              <w:rPr>
                <w:rFonts w:eastAsia="Times New Roman"/>
                <w:color w:val="000000"/>
                <w:sz w:val="16"/>
                <w:szCs w:val="16"/>
              </w:rPr>
            </w:pPr>
            <w:r>
              <w:rPr>
                <w:rFonts w:eastAsia="Times New Roman"/>
                <w:color w:val="000000"/>
                <w:sz w:val="16"/>
                <w:szCs w:val="16"/>
              </w:rPr>
              <w:t>39,3</w:t>
            </w:r>
          </w:p>
        </w:tc>
        <w:tc>
          <w:tcPr>
            <w:tcW w:w="1011" w:type="dxa"/>
            <w:tcBorders>
              <w:top w:val="nil"/>
              <w:left w:val="nil"/>
              <w:bottom w:val="single" w:sz="4" w:space="0" w:color="auto"/>
              <w:right w:val="nil"/>
            </w:tcBorders>
            <w:vAlign w:val="center"/>
            <w:hideMark/>
          </w:tcPr>
          <w:p w14:paraId="6776DDFA" w14:textId="77777777" w:rsidR="001A4A95" w:rsidRDefault="001A4A95" w:rsidP="00517C9A">
            <w:pPr>
              <w:jc w:val="center"/>
              <w:rPr>
                <w:rFonts w:eastAsia="Times New Roman"/>
                <w:color w:val="000000"/>
                <w:sz w:val="16"/>
                <w:szCs w:val="16"/>
              </w:rPr>
            </w:pPr>
            <w:r>
              <w:rPr>
                <w:rFonts w:eastAsia="Times New Roman"/>
                <w:color w:val="000000"/>
                <w:sz w:val="16"/>
                <w:szCs w:val="16"/>
              </w:rPr>
              <w:t>39,8</w:t>
            </w:r>
          </w:p>
        </w:tc>
        <w:tc>
          <w:tcPr>
            <w:tcW w:w="1011" w:type="dxa"/>
            <w:tcBorders>
              <w:top w:val="nil"/>
              <w:left w:val="nil"/>
              <w:bottom w:val="single" w:sz="4" w:space="0" w:color="auto"/>
              <w:right w:val="nil"/>
            </w:tcBorders>
            <w:vAlign w:val="center"/>
            <w:hideMark/>
          </w:tcPr>
          <w:p w14:paraId="562EB7A1" w14:textId="77777777" w:rsidR="001A4A95" w:rsidRDefault="001A4A95" w:rsidP="00517C9A">
            <w:pPr>
              <w:jc w:val="center"/>
              <w:rPr>
                <w:rFonts w:eastAsia="Times New Roman"/>
                <w:color w:val="000000"/>
                <w:sz w:val="16"/>
                <w:szCs w:val="16"/>
              </w:rPr>
            </w:pPr>
            <w:r>
              <w:rPr>
                <w:rFonts w:eastAsia="Times New Roman"/>
                <w:color w:val="000000"/>
                <w:sz w:val="16"/>
                <w:szCs w:val="16"/>
              </w:rPr>
              <w:t>41,2</w:t>
            </w:r>
          </w:p>
        </w:tc>
      </w:tr>
    </w:tbl>
    <w:p w14:paraId="27F96BD5" w14:textId="77777777" w:rsidR="001A4A95" w:rsidRDefault="001A4A95" w:rsidP="001A4A95">
      <w:pPr>
        <w:ind w:firstLine="708"/>
        <w:jc w:val="both"/>
        <w:rPr>
          <w:rFonts w:asciiTheme="minorHAnsi" w:eastAsiaTheme="minorHAnsi" w:hAnsiTheme="minorHAnsi" w:cstheme="minorBidi"/>
          <w:lang w:val="es-ES" w:eastAsia="en-US"/>
        </w:rPr>
      </w:pPr>
    </w:p>
    <w:p w14:paraId="26AA9502" w14:textId="77777777" w:rsidR="001A4A95" w:rsidRDefault="001A4A95" w:rsidP="001A4A95">
      <w:pPr>
        <w:rPr>
          <w:lang w:val="es-AR"/>
        </w:rPr>
      </w:pPr>
    </w:p>
    <w:p w14:paraId="79234444" w14:textId="77777777" w:rsidR="001A4A95" w:rsidRDefault="001A4A95" w:rsidP="001A4A95"/>
    <w:p w14:paraId="58FEDD09" w14:textId="77777777" w:rsidR="001A4A95" w:rsidRDefault="001A4A95" w:rsidP="001A4A95"/>
    <w:p w14:paraId="447297AF" w14:textId="77777777" w:rsidR="001A4A95" w:rsidRDefault="001A4A95" w:rsidP="001A4A95">
      <w:pPr>
        <w:jc w:val="both"/>
      </w:pPr>
      <w:r>
        <w:t xml:space="preserve">Uno de los rasgos más preocupantes del escenario social, es que la incidencia de la pobreza golpea con más fuerza a los niños y niñas. De hecho, mientras en el semestre la pobreza alcanzó al 40,9% de la población total, entre los niños/as de 0 a 14 llegó al 56,3%, 4 puntos porcentuales por encima del semestre anterior. Por su parte, la indigencia llegó al 15,6% (+2 p.p.) Ello se traduce en que cayeron bajo la línea de pobreza casi 432 mil chicos y bajo la línea de indigencia 218 mil, alcanzando así un total de 6,2 millones de chicos pobres y 1,7 millones de indigentes. Sin embargo, si a partir de los resultados semestrales se infieren los resultados trimestrales (lo cual constituye una estimación provisoria hasta tanto se encuentre disponible la base de microdatos de la EPH), resulta </w:t>
      </w:r>
      <w:proofErr w:type="gramStart"/>
      <w:r>
        <w:t>que</w:t>
      </w:r>
      <w:proofErr w:type="gramEnd"/>
      <w:r>
        <w:t xml:space="preserve"> en el 2do trimestre, es decir el peor momento de la pandemia, la pobreza infantil llegó a cerca del 65% (casi 7,2 millones de chicos pobres) mientras la indigencia ascendió al 18,4% (2 millones de chicos).</w:t>
      </w:r>
    </w:p>
    <w:p w14:paraId="74428779" w14:textId="5ADF324F" w:rsidR="005222B6" w:rsidRDefault="005222B6">
      <w:r>
        <w:br w:type="page"/>
      </w:r>
    </w:p>
    <w:p w14:paraId="49B2EC08" w14:textId="128A9A57" w:rsidR="005D56DD" w:rsidRPr="000260C7" w:rsidRDefault="00BC1B83">
      <w:pPr>
        <w:spacing w:before="240" w:after="240"/>
        <w:jc w:val="both"/>
        <w:rPr>
          <w:b/>
          <w:bCs/>
          <w:i/>
          <w:iCs/>
          <w:sz w:val="26"/>
          <w:szCs w:val="26"/>
          <w:u w:val="single"/>
        </w:rPr>
      </w:pPr>
      <w:r w:rsidRPr="000260C7">
        <w:rPr>
          <w:b/>
          <w:bCs/>
          <w:i/>
          <w:iCs/>
          <w:sz w:val="26"/>
          <w:szCs w:val="26"/>
          <w:u w:val="single"/>
        </w:rPr>
        <w:lastRenderedPageBreak/>
        <w:t>Anexo de cuadros</w:t>
      </w:r>
    </w:p>
    <w:p w14:paraId="01DCF837" w14:textId="77777777" w:rsidR="005222B6" w:rsidRPr="008D4038" w:rsidRDefault="005222B6" w:rsidP="005222B6">
      <w:r w:rsidRPr="008D4038">
        <w:rPr>
          <w:b/>
        </w:rPr>
        <w:t>Gráfico 1.</w:t>
      </w:r>
      <w:r w:rsidRPr="008D4038">
        <w:t xml:space="preserve"> Evolución del Estimador Mensual de Actividad Económica (EMAE). 2004=100. </w:t>
      </w:r>
    </w:p>
    <w:p w14:paraId="152B1646" w14:textId="77777777" w:rsidR="005222B6" w:rsidRDefault="005222B6" w:rsidP="005222B6">
      <w:pPr>
        <w:jc w:val="center"/>
      </w:pPr>
      <w:r w:rsidRPr="008D4038">
        <w:rPr>
          <w:noProof/>
        </w:rPr>
        <w:drawing>
          <wp:inline distT="0" distB="0" distL="0" distR="0" wp14:anchorId="7C6BF981" wp14:editId="554FBCE1">
            <wp:extent cx="5612130" cy="3145347"/>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3145347"/>
                    </a:xfrm>
                    <a:prstGeom prst="rect">
                      <a:avLst/>
                    </a:prstGeom>
                    <a:noFill/>
                    <a:ln>
                      <a:noFill/>
                    </a:ln>
                  </pic:spPr>
                </pic:pic>
              </a:graphicData>
            </a:graphic>
          </wp:inline>
        </w:drawing>
      </w:r>
    </w:p>
    <w:p w14:paraId="31022911" w14:textId="77777777" w:rsidR="005222B6" w:rsidRDefault="005222B6" w:rsidP="005222B6">
      <w:pPr>
        <w:jc w:val="center"/>
        <w:rPr>
          <w:sz w:val="20"/>
          <w:szCs w:val="20"/>
        </w:rPr>
      </w:pPr>
      <w:r w:rsidRPr="008D4038">
        <w:rPr>
          <w:sz w:val="20"/>
          <w:szCs w:val="20"/>
        </w:rPr>
        <w:t>Fuente: Elaboración propia en base a INDEC.</w:t>
      </w:r>
    </w:p>
    <w:p w14:paraId="3AEE2D0B" w14:textId="77777777" w:rsidR="005222B6" w:rsidRDefault="005222B6" w:rsidP="005222B6">
      <w:pPr>
        <w:jc w:val="center"/>
        <w:rPr>
          <w:sz w:val="20"/>
          <w:szCs w:val="20"/>
        </w:rPr>
      </w:pPr>
    </w:p>
    <w:p w14:paraId="5E42DDDB" w14:textId="77777777" w:rsidR="005222B6" w:rsidRDefault="005222B6" w:rsidP="005222B6">
      <w:pPr>
        <w:jc w:val="center"/>
        <w:rPr>
          <w:sz w:val="20"/>
          <w:szCs w:val="20"/>
        </w:rPr>
      </w:pPr>
    </w:p>
    <w:p w14:paraId="4645F2C0" w14:textId="77777777" w:rsidR="005222B6" w:rsidRPr="00727E15" w:rsidRDefault="005222B6" w:rsidP="005222B6">
      <w:pPr>
        <w:rPr>
          <w:b/>
        </w:rPr>
      </w:pPr>
      <w:r w:rsidRPr="00727E15">
        <w:rPr>
          <w:b/>
        </w:rPr>
        <w:t xml:space="preserve">Cuadro 3. </w:t>
      </w:r>
      <w:r w:rsidRPr="00727E15">
        <w:t xml:space="preserve">Estimador Mensual de Actividad </w:t>
      </w:r>
      <w:proofErr w:type="gramStart"/>
      <w:r w:rsidRPr="00727E15">
        <w:t>Económica  por</w:t>
      </w:r>
      <w:proofErr w:type="gramEnd"/>
      <w:r w:rsidRPr="00727E15">
        <w:t xml:space="preserve"> sector de actividad. </w:t>
      </w:r>
    </w:p>
    <w:tbl>
      <w:tblPr>
        <w:tblW w:w="10840" w:type="dxa"/>
        <w:jc w:val="center"/>
        <w:tblCellMar>
          <w:left w:w="70" w:type="dxa"/>
          <w:right w:w="70" w:type="dxa"/>
        </w:tblCellMar>
        <w:tblLook w:val="04A0" w:firstRow="1" w:lastRow="0" w:firstColumn="1" w:lastColumn="0" w:noHBand="0" w:noVBand="1"/>
      </w:tblPr>
      <w:tblGrid>
        <w:gridCol w:w="5320"/>
        <w:gridCol w:w="920"/>
        <w:gridCol w:w="920"/>
        <w:gridCol w:w="920"/>
        <w:gridCol w:w="920"/>
        <w:gridCol w:w="920"/>
        <w:gridCol w:w="920"/>
      </w:tblGrid>
      <w:tr w:rsidR="005222B6" w:rsidRPr="00727E15" w14:paraId="5FB9C905" w14:textId="77777777" w:rsidTr="00BC1B83">
        <w:trPr>
          <w:trHeight w:val="285"/>
          <w:jc w:val="center"/>
        </w:trPr>
        <w:tc>
          <w:tcPr>
            <w:tcW w:w="5320" w:type="dxa"/>
            <w:tcBorders>
              <w:top w:val="single" w:sz="4" w:space="0" w:color="auto"/>
              <w:left w:val="single" w:sz="4" w:space="0" w:color="auto"/>
              <w:bottom w:val="single" w:sz="4" w:space="0" w:color="auto"/>
              <w:right w:val="nil"/>
            </w:tcBorders>
            <w:shd w:val="clear" w:color="000000" w:fill="0070C0"/>
            <w:vAlign w:val="center"/>
            <w:hideMark/>
          </w:tcPr>
          <w:p w14:paraId="047E8193" w14:textId="77777777" w:rsidR="005222B6" w:rsidRPr="00727E15" w:rsidRDefault="005222B6" w:rsidP="00BC1B83">
            <w:pPr>
              <w:jc w:val="center"/>
              <w:rPr>
                <w:b/>
                <w:bCs/>
                <w:sz w:val="20"/>
                <w:szCs w:val="20"/>
              </w:rPr>
            </w:pPr>
            <w:r w:rsidRPr="00727E15">
              <w:rPr>
                <w:b/>
                <w:bCs/>
                <w:sz w:val="20"/>
                <w:szCs w:val="20"/>
              </w:rPr>
              <w:t> </w:t>
            </w:r>
          </w:p>
        </w:tc>
        <w:tc>
          <w:tcPr>
            <w:tcW w:w="9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43DA55F" w14:textId="77777777" w:rsidR="005222B6" w:rsidRPr="00727E15" w:rsidRDefault="005222B6" w:rsidP="00BC1B83">
            <w:pPr>
              <w:jc w:val="center"/>
              <w:rPr>
                <w:b/>
                <w:bCs/>
                <w:sz w:val="20"/>
                <w:szCs w:val="20"/>
              </w:rPr>
            </w:pPr>
            <w:r w:rsidRPr="00727E15">
              <w:rPr>
                <w:b/>
                <w:bCs/>
                <w:sz w:val="20"/>
                <w:szCs w:val="20"/>
              </w:rPr>
              <w:t>Enero</w:t>
            </w:r>
          </w:p>
        </w:tc>
        <w:tc>
          <w:tcPr>
            <w:tcW w:w="920" w:type="dxa"/>
            <w:tcBorders>
              <w:top w:val="single" w:sz="4" w:space="0" w:color="auto"/>
              <w:left w:val="nil"/>
              <w:bottom w:val="single" w:sz="4" w:space="0" w:color="auto"/>
              <w:right w:val="single" w:sz="4" w:space="0" w:color="auto"/>
            </w:tcBorders>
            <w:shd w:val="clear" w:color="000000" w:fill="0070C0"/>
            <w:noWrap/>
            <w:vAlign w:val="bottom"/>
            <w:hideMark/>
          </w:tcPr>
          <w:p w14:paraId="4BFDCD22" w14:textId="77777777" w:rsidR="005222B6" w:rsidRPr="00727E15" w:rsidRDefault="005222B6" w:rsidP="00BC1B83">
            <w:pPr>
              <w:jc w:val="center"/>
              <w:rPr>
                <w:b/>
                <w:bCs/>
                <w:sz w:val="20"/>
                <w:szCs w:val="20"/>
              </w:rPr>
            </w:pPr>
            <w:r w:rsidRPr="00727E15">
              <w:rPr>
                <w:b/>
                <w:bCs/>
                <w:sz w:val="20"/>
                <w:szCs w:val="20"/>
              </w:rPr>
              <w:t>Febrero</w:t>
            </w:r>
          </w:p>
        </w:tc>
        <w:tc>
          <w:tcPr>
            <w:tcW w:w="920" w:type="dxa"/>
            <w:tcBorders>
              <w:top w:val="single" w:sz="4" w:space="0" w:color="auto"/>
              <w:left w:val="nil"/>
              <w:bottom w:val="single" w:sz="4" w:space="0" w:color="auto"/>
              <w:right w:val="single" w:sz="4" w:space="0" w:color="auto"/>
            </w:tcBorders>
            <w:shd w:val="clear" w:color="000000" w:fill="0070C0"/>
            <w:noWrap/>
            <w:vAlign w:val="bottom"/>
            <w:hideMark/>
          </w:tcPr>
          <w:p w14:paraId="62B35DDA" w14:textId="77777777" w:rsidR="005222B6" w:rsidRPr="00727E15" w:rsidRDefault="005222B6" w:rsidP="00BC1B83">
            <w:pPr>
              <w:jc w:val="center"/>
              <w:rPr>
                <w:b/>
                <w:bCs/>
                <w:sz w:val="20"/>
                <w:szCs w:val="20"/>
              </w:rPr>
            </w:pPr>
            <w:r w:rsidRPr="00727E15">
              <w:rPr>
                <w:b/>
                <w:bCs/>
                <w:sz w:val="20"/>
                <w:szCs w:val="20"/>
              </w:rPr>
              <w:t>Marzo</w:t>
            </w:r>
          </w:p>
        </w:tc>
        <w:tc>
          <w:tcPr>
            <w:tcW w:w="920" w:type="dxa"/>
            <w:tcBorders>
              <w:top w:val="single" w:sz="4" w:space="0" w:color="auto"/>
              <w:left w:val="nil"/>
              <w:bottom w:val="single" w:sz="4" w:space="0" w:color="auto"/>
              <w:right w:val="single" w:sz="4" w:space="0" w:color="auto"/>
            </w:tcBorders>
            <w:shd w:val="clear" w:color="000000" w:fill="0070C0"/>
            <w:noWrap/>
            <w:vAlign w:val="bottom"/>
            <w:hideMark/>
          </w:tcPr>
          <w:p w14:paraId="16245F7F" w14:textId="77777777" w:rsidR="005222B6" w:rsidRPr="00727E15" w:rsidRDefault="005222B6" w:rsidP="00BC1B83">
            <w:pPr>
              <w:jc w:val="center"/>
              <w:rPr>
                <w:b/>
                <w:bCs/>
                <w:sz w:val="20"/>
                <w:szCs w:val="20"/>
              </w:rPr>
            </w:pPr>
            <w:r w:rsidRPr="00727E15">
              <w:rPr>
                <w:b/>
                <w:bCs/>
                <w:sz w:val="20"/>
                <w:szCs w:val="20"/>
              </w:rPr>
              <w:t>Abril</w:t>
            </w:r>
          </w:p>
        </w:tc>
        <w:tc>
          <w:tcPr>
            <w:tcW w:w="920" w:type="dxa"/>
            <w:tcBorders>
              <w:top w:val="single" w:sz="4" w:space="0" w:color="auto"/>
              <w:left w:val="nil"/>
              <w:bottom w:val="single" w:sz="4" w:space="0" w:color="auto"/>
              <w:right w:val="single" w:sz="4" w:space="0" w:color="auto"/>
            </w:tcBorders>
            <w:shd w:val="clear" w:color="000000" w:fill="0070C0"/>
            <w:noWrap/>
            <w:vAlign w:val="bottom"/>
            <w:hideMark/>
          </w:tcPr>
          <w:p w14:paraId="0C7042D0" w14:textId="77777777" w:rsidR="005222B6" w:rsidRPr="00727E15" w:rsidRDefault="005222B6" w:rsidP="00BC1B83">
            <w:pPr>
              <w:jc w:val="center"/>
              <w:rPr>
                <w:b/>
                <w:bCs/>
                <w:sz w:val="20"/>
                <w:szCs w:val="20"/>
              </w:rPr>
            </w:pPr>
            <w:r w:rsidRPr="00727E15">
              <w:rPr>
                <w:b/>
                <w:bCs/>
                <w:sz w:val="20"/>
                <w:szCs w:val="20"/>
              </w:rPr>
              <w:t>Mayo</w:t>
            </w:r>
          </w:p>
        </w:tc>
        <w:tc>
          <w:tcPr>
            <w:tcW w:w="920" w:type="dxa"/>
            <w:tcBorders>
              <w:top w:val="single" w:sz="4" w:space="0" w:color="auto"/>
              <w:left w:val="nil"/>
              <w:bottom w:val="single" w:sz="4" w:space="0" w:color="auto"/>
              <w:right w:val="single" w:sz="4" w:space="0" w:color="auto"/>
            </w:tcBorders>
            <w:shd w:val="clear" w:color="000000" w:fill="0070C0"/>
            <w:noWrap/>
            <w:vAlign w:val="bottom"/>
            <w:hideMark/>
          </w:tcPr>
          <w:p w14:paraId="49BFD777" w14:textId="77777777" w:rsidR="005222B6" w:rsidRPr="00727E15" w:rsidRDefault="005222B6" w:rsidP="00BC1B83">
            <w:pPr>
              <w:jc w:val="center"/>
              <w:rPr>
                <w:b/>
                <w:bCs/>
                <w:sz w:val="20"/>
                <w:szCs w:val="20"/>
              </w:rPr>
            </w:pPr>
            <w:r w:rsidRPr="00727E15">
              <w:rPr>
                <w:b/>
                <w:bCs/>
                <w:sz w:val="20"/>
                <w:szCs w:val="20"/>
              </w:rPr>
              <w:t>Junio</w:t>
            </w:r>
          </w:p>
        </w:tc>
      </w:tr>
      <w:tr w:rsidR="005222B6" w:rsidRPr="00727E15" w14:paraId="1155DB31" w14:textId="77777777" w:rsidTr="00BC1B83">
        <w:trPr>
          <w:trHeight w:val="300"/>
          <w:jc w:val="center"/>
        </w:trPr>
        <w:tc>
          <w:tcPr>
            <w:tcW w:w="5320" w:type="dxa"/>
            <w:tcBorders>
              <w:top w:val="nil"/>
              <w:left w:val="single" w:sz="4" w:space="0" w:color="auto"/>
              <w:bottom w:val="single" w:sz="4" w:space="0" w:color="auto"/>
              <w:right w:val="nil"/>
            </w:tcBorders>
            <w:shd w:val="clear" w:color="000000" w:fill="DCE6F1"/>
            <w:noWrap/>
            <w:vAlign w:val="bottom"/>
            <w:hideMark/>
          </w:tcPr>
          <w:p w14:paraId="7561A805" w14:textId="77777777" w:rsidR="005222B6" w:rsidRPr="00727E15" w:rsidRDefault="005222B6" w:rsidP="00BC1B83">
            <w:pPr>
              <w:jc w:val="center"/>
              <w:rPr>
                <w:sz w:val="20"/>
                <w:szCs w:val="20"/>
              </w:rPr>
            </w:pPr>
            <w:r w:rsidRPr="00727E15">
              <w:rPr>
                <w:sz w:val="20"/>
                <w:szCs w:val="20"/>
              </w:rPr>
              <w:t> </w:t>
            </w:r>
          </w:p>
        </w:tc>
        <w:tc>
          <w:tcPr>
            <w:tcW w:w="5520" w:type="dxa"/>
            <w:gridSpan w:val="6"/>
            <w:tcBorders>
              <w:top w:val="single" w:sz="4" w:space="0" w:color="auto"/>
              <w:left w:val="single" w:sz="4" w:space="0" w:color="auto"/>
              <w:bottom w:val="single" w:sz="4" w:space="0" w:color="auto"/>
              <w:right w:val="single" w:sz="4" w:space="0" w:color="000000"/>
            </w:tcBorders>
            <w:shd w:val="clear" w:color="000000" w:fill="DCE6F1"/>
            <w:vAlign w:val="center"/>
            <w:hideMark/>
          </w:tcPr>
          <w:p w14:paraId="3E77B48A" w14:textId="77777777" w:rsidR="005222B6" w:rsidRPr="00727E15" w:rsidRDefault="005222B6" w:rsidP="00BC1B83">
            <w:pPr>
              <w:jc w:val="center"/>
              <w:rPr>
                <w:i/>
                <w:iCs/>
                <w:sz w:val="20"/>
                <w:szCs w:val="20"/>
              </w:rPr>
            </w:pPr>
            <w:r w:rsidRPr="00727E15">
              <w:rPr>
                <w:i/>
                <w:iCs/>
                <w:sz w:val="20"/>
                <w:szCs w:val="20"/>
              </w:rPr>
              <w:t>Variación respecto al mes anterior (serie desestacionalizada)</w:t>
            </w:r>
          </w:p>
        </w:tc>
      </w:tr>
      <w:tr w:rsidR="005222B6" w:rsidRPr="00727E15" w14:paraId="3376314F" w14:textId="77777777" w:rsidTr="00BC1B83">
        <w:trPr>
          <w:trHeight w:val="300"/>
          <w:jc w:val="center"/>
        </w:trPr>
        <w:tc>
          <w:tcPr>
            <w:tcW w:w="5320" w:type="dxa"/>
            <w:tcBorders>
              <w:top w:val="single" w:sz="4" w:space="0" w:color="auto"/>
              <w:left w:val="single" w:sz="4" w:space="0" w:color="auto"/>
              <w:bottom w:val="single" w:sz="4" w:space="0" w:color="auto"/>
              <w:right w:val="nil"/>
            </w:tcBorders>
            <w:shd w:val="clear" w:color="auto" w:fill="auto"/>
            <w:vAlign w:val="bottom"/>
            <w:hideMark/>
          </w:tcPr>
          <w:p w14:paraId="25C69E1A" w14:textId="77777777" w:rsidR="005222B6" w:rsidRPr="00727E15" w:rsidRDefault="005222B6" w:rsidP="00BC1B83">
            <w:pPr>
              <w:rPr>
                <w:b/>
                <w:bCs/>
                <w:sz w:val="20"/>
                <w:szCs w:val="20"/>
              </w:rPr>
            </w:pPr>
            <w:r w:rsidRPr="00727E15">
              <w:rPr>
                <w:b/>
                <w:bCs/>
                <w:sz w:val="20"/>
                <w:szCs w:val="20"/>
              </w:rPr>
              <w:t>Total</w:t>
            </w:r>
          </w:p>
        </w:tc>
        <w:tc>
          <w:tcPr>
            <w:tcW w:w="920"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14:paraId="4FAC00DE" w14:textId="77777777" w:rsidR="005222B6" w:rsidRPr="00727E15" w:rsidRDefault="005222B6" w:rsidP="00BC1B83">
            <w:pPr>
              <w:jc w:val="center"/>
              <w:rPr>
                <w:b/>
                <w:bCs/>
                <w:sz w:val="20"/>
                <w:szCs w:val="20"/>
              </w:rPr>
            </w:pPr>
            <w:r w:rsidRPr="00727E15">
              <w:rPr>
                <w:b/>
                <w:bCs/>
                <w:sz w:val="20"/>
                <w:szCs w:val="20"/>
              </w:rPr>
              <w:t>-0,3</w:t>
            </w:r>
          </w:p>
        </w:tc>
        <w:tc>
          <w:tcPr>
            <w:tcW w:w="920"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14:paraId="14AA320C" w14:textId="77777777" w:rsidR="005222B6" w:rsidRPr="00727E15" w:rsidRDefault="005222B6" w:rsidP="00BC1B83">
            <w:pPr>
              <w:jc w:val="center"/>
              <w:rPr>
                <w:b/>
                <w:bCs/>
                <w:sz w:val="20"/>
                <w:szCs w:val="20"/>
              </w:rPr>
            </w:pPr>
            <w:r w:rsidRPr="00727E15">
              <w:rPr>
                <w:b/>
                <w:bCs/>
                <w:sz w:val="20"/>
                <w:szCs w:val="20"/>
              </w:rPr>
              <w:t>-0,4</w:t>
            </w:r>
          </w:p>
        </w:tc>
        <w:tc>
          <w:tcPr>
            <w:tcW w:w="920" w:type="dxa"/>
            <w:tcBorders>
              <w:top w:val="single" w:sz="4" w:space="0" w:color="auto"/>
              <w:left w:val="single" w:sz="4" w:space="0" w:color="auto"/>
              <w:bottom w:val="single" w:sz="4" w:space="0" w:color="auto"/>
              <w:right w:val="single" w:sz="4" w:space="0" w:color="auto"/>
            </w:tcBorders>
            <w:shd w:val="clear" w:color="000000" w:fill="FEE883"/>
            <w:noWrap/>
            <w:vAlign w:val="bottom"/>
            <w:hideMark/>
          </w:tcPr>
          <w:p w14:paraId="604EB154" w14:textId="77777777" w:rsidR="005222B6" w:rsidRPr="00727E15" w:rsidRDefault="005222B6" w:rsidP="00BC1B83">
            <w:pPr>
              <w:jc w:val="center"/>
              <w:rPr>
                <w:b/>
                <w:bCs/>
                <w:sz w:val="20"/>
                <w:szCs w:val="20"/>
              </w:rPr>
            </w:pPr>
            <w:r w:rsidRPr="00727E15">
              <w:rPr>
                <w:b/>
                <w:bCs/>
                <w:sz w:val="20"/>
                <w:szCs w:val="20"/>
              </w:rPr>
              <w:t>-10,2</w:t>
            </w:r>
          </w:p>
        </w:tc>
        <w:tc>
          <w:tcPr>
            <w:tcW w:w="920" w:type="dxa"/>
            <w:tcBorders>
              <w:top w:val="single" w:sz="4" w:space="0" w:color="auto"/>
              <w:left w:val="single" w:sz="4" w:space="0" w:color="auto"/>
              <w:bottom w:val="single" w:sz="4" w:space="0" w:color="auto"/>
              <w:right w:val="single" w:sz="4" w:space="0" w:color="auto"/>
            </w:tcBorders>
            <w:shd w:val="clear" w:color="000000" w:fill="FEDC81"/>
            <w:noWrap/>
            <w:vAlign w:val="bottom"/>
            <w:hideMark/>
          </w:tcPr>
          <w:p w14:paraId="45F5BB7B" w14:textId="77777777" w:rsidR="005222B6" w:rsidRPr="00727E15" w:rsidRDefault="005222B6" w:rsidP="00BC1B83">
            <w:pPr>
              <w:jc w:val="center"/>
              <w:rPr>
                <w:b/>
                <w:bCs/>
                <w:sz w:val="20"/>
                <w:szCs w:val="20"/>
              </w:rPr>
            </w:pPr>
            <w:r w:rsidRPr="00727E15">
              <w:rPr>
                <w:b/>
                <w:bCs/>
                <w:sz w:val="20"/>
                <w:szCs w:val="20"/>
              </w:rPr>
              <w:t>-17,6</w:t>
            </w:r>
          </w:p>
        </w:tc>
        <w:tc>
          <w:tcPr>
            <w:tcW w:w="920" w:type="dxa"/>
            <w:tcBorders>
              <w:top w:val="single" w:sz="4" w:space="0" w:color="auto"/>
              <w:left w:val="single" w:sz="4" w:space="0" w:color="auto"/>
              <w:bottom w:val="single" w:sz="4" w:space="0" w:color="auto"/>
              <w:right w:val="single" w:sz="4" w:space="0" w:color="auto"/>
            </w:tcBorders>
            <w:shd w:val="clear" w:color="000000" w:fill="D7E082"/>
            <w:noWrap/>
            <w:vAlign w:val="bottom"/>
            <w:hideMark/>
          </w:tcPr>
          <w:p w14:paraId="7F2640F6" w14:textId="77777777" w:rsidR="005222B6" w:rsidRPr="00727E15" w:rsidRDefault="005222B6" w:rsidP="00BC1B83">
            <w:pPr>
              <w:jc w:val="center"/>
              <w:rPr>
                <w:b/>
                <w:bCs/>
                <w:sz w:val="20"/>
                <w:szCs w:val="20"/>
              </w:rPr>
            </w:pPr>
            <w:r w:rsidRPr="00727E15">
              <w:rPr>
                <w:b/>
                <w:bCs/>
                <w:sz w:val="20"/>
                <w:szCs w:val="20"/>
              </w:rPr>
              <w:t>9,7</w:t>
            </w:r>
          </w:p>
        </w:tc>
        <w:tc>
          <w:tcPr>
            <w:tcW w:w="920" w:type="dxa"/>
            <w:tcBorders>
              <w:top w:val="single" w:sz="4" w:space="0" w:color="auto"/>
              <w:left w:val="single" w:sz="4" w:space="0" w:color="auto"/>
              <w:bottom w:val="single" w:sz="4" w:space="0" w:color="auto"/>
              <w:right w:val="single" w:sz="4" w:space="0" w:color="auto"/>
            </w:tcBorders>
            <w:shd w:val="clear" w:color="000000" w:fill="DCE182"/>
            <w:noWrap/>
            <w:vAlign w:val="bottom"/>
            <w:hideMark/>
          </w:tcPr>
          <w:p w14:paraId="7997110E" w14:textId="77777777" w:rsidR="005222B6" w:rsidRPr="00727E15" w:rsidRDefault="005222B6" w:rsidP="00BC1B83">
            <w:pPr>
              <w:jc w:val="center"/>
              <w:rPr>
                <w:b/>
                <w:bCs/>
                <w:sz w:val="20"/>
                <w:szCs w:val="20"/>
              </w:rPr>
            </w:pPr>
            <w:r w:rsidRPr="00727E15">
              <w:rPr>
                <w:b/>
                <w:bCs/>
                <w:sz w:val="20"/>
                <w:szCs w:val="20"/>
              </w:rPr>
              <w:t>7,4</w:t>
            </w:r>
          </w:p>
        </w:tc>
      </w:tr>
      <w:tr w:rsidR="005222B6" w:rsidRPr="00727E15" w14:paraId="78331C29" w14:textId="77777777" w:rsidTr="00BC1B83">
        <w:trPr>
          <w:trHeight w:val="300"/>
          <w:jc w:val="center"/>
        </w:trPr>
        <w:tc>
          <w:tcPr>
            <w:tcW w:w="5320" w:type="dxa"/>
            <w:tcBorders>
              <w:top w:val="nil"/>
              <w:left w:val="single" w:sz="4" w:space="0" w:color="auto"/>
              <w:bottom w:val="single" w:sz="4" w:space="0" w:color="auto"/>
              <w:right w:val="nil"/>
            </w:tcBorders>
            <w:shd w:val="clear" w:color="000000" w:fill="DCE6F1"/>
            <w:noWrap/>
            <w:vAlign w:val="bottom"/>
            <w:hideMark/>
          </w:tcPr>
          <w:p w14:paraId="584E7AD7" w14:textId="77777777" w:rsidR="005222B6" w:rsidRPr="00727E15" w:rsidRDefault="005222B6" w:rsidP="00BC1B83">
            <w:pPr>
              <w:rPr>
                <w:sz w:val="20"/>
                <w:szCs w:val="20"/>
              </w:rPr>
            </w:pPr>
            <w:r w:rsidRPr="00727E15">
              <w:rPr>
                <w:sz w:val="20"/>
                <w:szCs w:val="20"/>
              </w:rPr>
              <w:t> </w:t>
            </w:r>
          </w:p>
        </w:tc>
        <w:tc>
          <w:tcPr>
            <w:tcW w:w="5520" w:type="dxa"/>
            <w:gridSpan w:val="6"/>
            <w:tcBorders>
              <w:top w:val="single" w:sz="4" w:space="0" w:color="auto"/>
              <w:left w:val="single" w:sz="4" w:space="0" w:color="auto"/>
              <w:bottom w:val="single" w:sz="4" w:space="0" w:color="auto"/>
              <w:right w:val="single" w:sz="4" w:space="0" w:color="000000"/>
            </w:tcBorders>
            <w:shd w:val="clear" w:color="000000" w:fill="DCE6F1"/>
            <w:vAlign w:val="center"/>
            <w:hideMark/>
          </w:tcPr>
          <w:p w14:paraId="55CB6D76" w14:textId="77777777" w:rsidR="005222B6" w:rsidRPr="00727E15" w:rsidRDefault="005222B6" w:rsidP="00BC1B83">
            <w:pPr>
              <w:jc w:val="center"/>
              <w:rPr>
                <w:i/>
                <w:iCs/>
                <w:sz w:val="20"/>
                <w:szCs w:val="20"/>
              </w:rPr>
            </w:pPr>
            <w:r w:rsidRPr="00727E15">
              <w:rPr>
                <w:i/>
                <w:iCs/>
                <w:sz w:val="20"/>
                <w:szCs w:val="20"/>
              </w:rPr>
              <w:t>Variación respecto a igual mes del año anterior</w:t>
            </w:r>
          </w:p>
        </w:tc>
      </w:tr>
      <w:tr w:rsidR="005222B6" w:rsidRPr="00727E15" w14:paraId="3448FC50" w14:textId="77777777" w:rsidTr="00BC1B83">
        <w:trPr>
          <w:trHeight w:val="300"/>
          <w:jc w:val="center"/>
        </w:trPr>
        <w:tc>
          <w:tcPr>
            <w:tcW w:w="5320" w:type="dxa"/>
            <w:tcBorders>
              <w:top w:val="single" w:sz="4" w:space="0" w:color="auto"/>
              <w:left w:val="single" w:sz="4" w:space="0" w:color="auto"/>
              <w:bottom w:val="nil"/>
              <w:right w:val="single" w:sz="4" w:space="0" w:color="auto"/>
            </w:tcBorders>
            <w:shd w:val="clear" w:color="000000" w:fill="FFFFFF"/>
            <w:vAlign w:val="bottom"/>
            <w:hideMark/>
          </w:tcPr>
          <w:p w14:paraId="5BCC37FF" w14:textId="77777777" w:rsidR="005222B6" w:rsidRPr="00727E15" w:rsidRDefault="005222B6" w:rsidP="00BC1B83">
            <w:pPr>
              <w:rPr>
                <w:b/>
                <w:bCs/>
                <w:sz w:val="20"/>
                <w:szCs w:val="20"/>
              </w:rPr>
            </w:pPr>
            <w:r w:rsidRPr="00727E15">
              <w:rPr>
                <w:b/>
                <w:bCs/>
                <w:sz w:val="20"/>
                <w:szCs w:val="20"/>
              </w:rPr>
              <w:t>Total</w:t>
            </w:r>
          </w:p>
        </w:tc>
        <w:tc>
          <w:tcPr>
            <w:tcW w:w="920" w:type="dxa"/>
            <w:tcBorders>
              <w:top w:val="single" w:sz="4" w:space="0" w:color="auto"/>
              <w:left w:val="single" w:sz="4" w:space="0" w:color="auto"/>
              <w:bottom w:val="nil"/>
              <w:right w:val="single" w:sz="4" w:space="0" w:color="auto"/>
            </w:tcBorders>
            <w:shd w:val="clear" w:color="000000" w:fill="F0E784"/>
            <w:noWrap/>
            <w:vAlign w:val="bottom"/>
            <w:hideMark/>
          </w:tcPr>
          <w:p w14:paraId="448D0914" w14:textId="77777777" w:rsidR="005222B6" w:rsidRPr="00727E15" w:rsidRDefault="005222B6" w:rsidP="00BC1B83">
            <w:pPr>
              <w:jc w:val="center"/>
              <w:rPr>
                <w:b/>
                <w:bCs/>
                <w:sz w:val="20"/>
                <w:szCs w:val="20"/>
              </w:rPr>
            </w:pPr>
            <w:r w:rsidRPr="00727E15">
              <w:rPr>
                <w:b/>
                <w:bCs/>
                <w:sz w:val="20"/>
                <w:szCs w:val="20"/>
              </w:rPr>
              <w:t>-1,9</w:t>
            </w:r>
          </w:p>
        </w:tc>
        <w:tc>
          <w:tcPr>
            <w:tcW w:w="920" w:type="dxa"/>
            <w:tcBorders>
              <w:top w:val="single" w:sz="4" w:space="0" w:color="auto"/>
              <w:left w:val="single" w:sz="4" w:space="0" w:color="auto"/>
              <w:bottom w:val="nil"/>
              <w:right w:val="single" w:sz="4" w:space="0" w:color="auto"/>
            </w:tcBorders>
            <w:shd w:val="clear" w:color="000000" w:fill="F1E784"/>
            <w:noWrap/>
            <w:vAlign w:val="bottom"/>
            <w:hideMark/>
          </w:tcPr>
          <w:p w14:paraId="71A21D21" w14:textId="77777777" w:rsidR="005222B6" w:rsidRPr="00727E15" w:rsidRDefault="005222B6" w:rsidP="00BC1B83">
            <w:pPr>
              <w:jc w:val="center"/>
              <w:rPr>
                <w:b/>
                <w:bCs/>
                <w:sz w:val="20"/>
                <w:szCs w:val="20"/>
              </w:rPr>
            </w:pPr>
            <w:r w:rsidRPr="00727E15">
              <w:rPr>
                <w:b/>
                <w:bCs/>
                <w:sz w:val="20"/>
                <w:szCs w:val="20"/>
              </w:rPr>
              <w:t>-2,4</w:t>
            </w:r>
          </w:p>
        </w:tc>
        <w:tc>
          <w:tcPr>
            <w:tcW w:w="920" w:type="dxa"/>
            <w:tcBorders>
              <w:top w:val="single" w:sz="4" w:space="0" w:color="auto"/>
              <w:left w:val="single" w:sz="4" w:space="0" w:color="auto"/>
              <w:bottom w:val="nil"/>
              <w:right w:val="single" w:sz="4" w:space="0" w:color="auto"/>
            </w:tcBorders>
            <w:shd w:val="clear" w:color="000000" w:fill="FEE683"/>
            <w:noWrap/>
            <w:vAlign w:val="bottom"/>
            <w:hideMark/>
          </w:tcPr>
          <w:p w14:paraId="73446529" w14:textId="77777777" w:rsidR="005222B6" w:rsidRPr="00727E15" w:rsidRDefault="005222B6" w:rsidP="00BC1B83">
            <w:pPr>
              <w:jc w:val="center"/>
              <w:rPr>
                <w:b/>
                <w:bCs/>
                <w:sz w:val="20"/>
                <w:szCs w:val="20"/>
              </w:rPr>
            </w:pPr>
            <w:r w:rsidRPr="00727E15">
              <w:rPr>
                <w:b/>
                <w:bCs/>
                <w:sz w:val="20"/>
                <w:szCs w:val="20"/>
              </w:rPr>
              <w:t>-11,5</w:t>
            </w:r>
          </w:p>
        </w:tc>
        <w:tc>
          <w:tcPr>
            <w:tcW w:w="920" w:type="dxa"/>
            <w:tcBorders>
              <w:top w:val="single" w:sz="4" w:space="0" w:color="auto"/>
              <w:left w:val="single" w:sz="4" w:space="0" w:color="auto"/>
              <w:bottom w:val="nil"/>
              <w:right w:val="single" w:sz="4" w:space="0" w:color="auto"/>
            </w:tcBorders>
            <w:shd w:val="clear" w:color="000000" w:fill="FDCE7E"/>
            <w:noWrap/>
            <w:vAlign w:val="bottom"/>
            <w:hideMark/>
          </w:tcPr>
          <w:p w14:paraId="21E9BE92" w14:textId="77777777" w:rsidR="005222B6" w:rsidRPr="00727E15" w:rsidRDefault="005222B6" w:rsidP="00BC1B83">
            <w:pPr>
              <w:jc w:val="center"/>
              <w:rPr>
                <w:b/>
                <w:bCs/>
                <w:sz w:val="20"/>
                <w:szCs w:val="20"/>
              </w:rPr>
            </w:pPr>
            <w:r w:rsidRPr="00727E15">
              <w:rPr>
                <w:b/>
                <w:bCs/>
                <w:sz w:val="20"/>
                <w:szCs w:val="20"/>
              </w:rPr>
              <w:t>-26,0</w:t>
            </w:r>
          </w:p>
        </w:tc>
        <w:tc>
          <w:tcPr>
            <w:tcW w:w="920" w:type="dxa"/>
            <w:tcBorders>
              <w:top w:val="single" w:sz="4" w:space="0" w:color="auto"/>
              <w:left w:val="single" w:sz="4" w:space="0" w:color="auto"/>
              <w:bottom w:val="nil"/>
              <w:right w:val="single" w:sz="4" w:space="0" w:color="auto"/>
            </w:tcBorders>
            <w:shd w:val="clear" w:color="000000" w:fill="FDD780"/>
            <w:noWrap/>
            <w:vAlign w:val="bottom"/>
            <w:hideMark/>
          </w:tcPr>
          <w:p w14:paraId="1F40B770" w14:textId="77777777" w:rsidR="005222B6" w:rsidRPr="00727E15" w:rsidRDefault="005222B6" w:rsidP="00BC1B83">
            <w:pPr>
              <w:jc w:val="center"/>
              <w:rPr>
                <w:b/>
                <w:bCs/>
                <w:sz w:val="20"/>
                <w:szCs w:val="20"/>
              </w:rPr>
            </w:pPr>
            <w:r w:rsidRPr="00727E15">
              <w:rPr>
                <w:b/>
                <w:bCs/>
                <w:sz w:val="20"/>
                <w:szCs w:val="20"/>
              </w:rPr>
              <w:t>-20,5</w:t>
            </w:r>
          </w:p>
        </w:tc>
        <w:tc>
          <w:tcPr>
            <w:tcW w:w="920" w:type="dxa"/>
            <w:tcBorders>
              <w:top w:val="single" w:sz="4" w:space="0" w:color="auto"/>
              <w:left w:val="single" w:sz="4" w:space="0" w:color="auto"/>
              <w:bottom w:val="nil"/>
              <w:right w:val="single" w:sz="4" w:space="0" w:color="auto"/>
            </w:tcBorders>
            <w:shd w:val="clear" w:color="000000" w:fill="FEE582"/>
            <w:noWrap/>
            <w:vAlign w:val="bottom"/>
            <w:hideMark/>
          </w:tcPr>
          <w:p w14:paraId="10CA19B5" w14:textId="77777777" w:rsidR="005222B6" w:rsidRPr="00727E15" w:rsidRDefault="005222B6" w:rsidP="00BC1B83">
            <w:pPr>
              <w:jc w:val="center"/>
              <w:rPr>
                <w:b/>
                <w:bCs/>
                <w:sz w:val="20"/>
                <w:szCs w:val="20"/>
              </w:rPr>
            </w:pPr>
            <w:r w:rsidRPr="00727E15">
              <w:rPr>
                <w:b/>
                <w:bCs/>
                <w:sz w:val="20"/>
                <w:szCs w:val="20"/>
              </w:rPr>
              <w:t>-12,3</w:t>
            </w:r>
          </w:p>
        </w:tc>
      </w:tr>
      <w:tr w:rsidR="005222B6" w:rsidRPr="00727E15" w14:paraId="7F006E40"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6F044E72" w14:textId="77777777" w:rsidR="005222B6" w:rsidRPr="00727E15" w:rsidRDefault="005222B6" w:rsidP="00BC1B83">
            <w:pPr>
              <w:rPr>
                <w:sz w:val="20"/>
                <w:szCs w:val="20"/>
              </w:rPr>
            </w:pPr>
            <w:r w:rsidRPr="00727E15">
              <w:rPr>
                <w:sz w:val="20"/>
                <w:szCs w:val="20"/>
              </w:rPr>
              <w:t xml:space="preserve">A </w:t>
            </w:r>
            <w:proofErr w:type="gramStart"/>
            <w:r w:rsidRPr="00727E15">
              <w:rPr>
                <w:sz w:val="20"/>
                <w:szCs w:val="20"/>
              </w:rPr>
              <w:t>-  Agricultura</w:t>
            </w:r>
            <w:proofErr w:type="gramEnd"/>
            <w:r w:rsidRPr="00727E15">
              <w:rPr>
                <w:sz w:val="20"/>
                <w:szCs w:val="20"/>
              </w:rPr>
              <w:t xml:space="preserve">, ganadería, caza y silvicultura </w:t>
            </w:r>
          </w:p>
        </w:tc>
        <w:tc>
          <w:tcPr>
            <w:tcW w:w="920" w:type="dxa"/>
            <w:tcBorders>
              <w:top w:val="nil"/>
              <w:left w:val="single" w:sz="4" w:space="0" w:color="auto"/>
              <w:bottom w:val="nil"/>
              <w:right w:val="single" w:sz="4" w:space="0" w:color="auto"/>
            </w:tcBorders>
            <w:shd w:val="clear" w:color="000000" w:fill="FFEB84"/>
            <w:noWrap/>
            <w:vAlign w:val="bottom"/>
            <w:hideMark/>
          </w:tcPr>
          <w:p w14:paraId="13424CE6" w14:textId="77777777" w:rsidR="005222B6" w:rsidRPr="00727E15" w:rsidRDefault="005222B6" w:rsidP="00BC1B83">
            <w:pPr>
              <w:jc w:val="center"/>
              <w:rPr>
                <w:sz w:val="20"/>
                <w:szCs w:val="20"/>
              </w:rPr>
            </w:pPr>
            <w:r w:rsidRPr="00727E15">
              <w:rPr>
                <w:sz w:val="20"/>
                <w:szCs w:val="20"/>
              </w:rPr>
              <w:t>-8,5</w:t>
            </w:r>
          </w:p>
        </w:tc>
        <w:tc>
          <w:tcPr>
            <w:tcW w:w="920" w:type="dxa"/>
            <w:tcBorders>
              <w:top w:val="nil"/>
              <w:left w:val="single" w:sz="4" w:space="0" w:color="auto"/>
              <w:bottom w:val="nil"/>
              <w:right w:val="single" w:sz="4" w:space="0" w:color="auto"/>
            </w:tcBorders>
            <w:shd w:val="clear" w:color="000000" w:fill="F2E884"/>
            <w:noWrap/>
            <w:vAlign w:val="bottom"/>
            <w:hideMark/>
          </w:tcPr>
          <w:p w14:paraId="718CD32B" w14:textId="77777777" w:rsidR="005222B6" w:rsidRPr="00727E15" w:rsidRDefault="005222B6" w:rsidP="00BC1B83">
            <w:pPr>
              <w:jc w:val="center"/>
              <w:rPr>
                <w:sz w:val="20"/>
                <w:szCs w:val="20"/>
              </w:rPr>
            </w:pPr>
            <w:r w:rsidRPr="00727E15">
              <w:rPr>
                <w:sz w:val="20"/>
                <w:szCs w:val="20"/>
              </w:rPr>
              <w:t>-2,8</w:t>
            </w:r>
          </w:p>
        </w:tc>
        <w:tc>
          <w:tcPr>
            <w:tcW w:w="920" w:type="dxa"/>
            <w:tcBorders>
              <w:top w:val="nil"/>
              <w:left w:val="single" w:sz="4" w:space="0" w:color="auto"/>
              <w:bottom w:val="nil"/>
              <w:right w:val="single" w:sz="4" w:space="0" w:color="auto"/>
            </w:tcBorders>
            <w:shd w:val="clear" w:color="000000" w:fill="FBEA84"/>
            <w:noWrap/>
            <w:vAlign w:val="bottom"/>
            <w:hideMark/>
          </w:tcPr>
          <w:p w14:paraId="428DFAA1" w14:textId="77777777" w:rsidR="005222B6" w:rsidRPr="00727E15" w:rsidRDefault="005222B6" w:rsidP="00BC1B83">
            <w:pPr>
              <w:jc w:val="center"/>
              <w:rPr>
                <w:sz w:val="20"/>
                <w:szCs w:val="20"/>
              </w:rPr>
            </w:pPr>
            <w:r w:rsidRPr="00727E15">
              <w:rPr>
                <w:sz w:val="20"/>
                <w:szCs w:val="20"/>
              </w:rPr>
              <w:t>-6,8</w:t>
            </w:r>
          </w:p>
        </w:tc>
        <w:tc>
          <w:tcPr>
            <w:tcW w:w="920" w:type="dxa"/>
            <w:tcBorders>
              <w:top w:val="nil"/>
              <w:left w:val="single" w:sz="4" w:space="0" w:color="auto"/>
              <w:bottom w:val="nil"/>
              <w:right w:val="single" w:sz="4" w:space="0" w:color="auto"/>
            </w:tcBorders>
            <w:shd w:val="clear" w:color="000000" w:fill="FEE983"/>
            <w:noWrap/>
            <w:vAlign w:val="bottom"/>
            <w:hideMark/>
          </w:tcPr>
          <w:p w14:paraId="5BD4BC71" w14:textId="77777777" w:rsidR="005222B6" w:rsidRPr="00727E15" w:rsidRDefault="005222B6" w:rsidP="00BC1B83">
            <w:pPr>
              <w:jc w:val="center"/>
              <w:rPr>
                <w:sz w:val="20"/>
                <w:szCs w:val="20"/>
              </w:rPr>
            </w:pPr>
            <w:r w:rsidRPr="00727E15">
              <w:rPr>
                <w:sz w:val="20"/>
                <w:szCs w:val="20"/>
              </w:rPr>
              <w:t>-9,7</w:t>
            </w:r>
          </w:p>
        </w:tc>
        <w:tc>
          <w:tcPr>
            <w:tcW w:w="920" w:type="dxa"/>
            <w:tcBorders>
              <w:top w:val="nil"/>
              <w:left w:val="single" w:sz="4" w:space="0" w:color="auto"/>
              <w:bottom w:val="nil"/>
              <w:right w:val="single" w:sz="4" w:space="0" w:color="auto"/>
            </w:tcBorders>
            <w:shd w:val="clear" w:color="000000" w:fill="FEE683"/>
            <w:noWrap/>
            <w:vAlign w:val="bottom"/>
            <w:hideMark/>
          </w:tcPr>
          <w:p w14:paraId="0B4E1F9C" w14:textId="77777777" w:rsidR="005222B6" w:rsidRPr="00727E15" w:rsidRDefault="005222B6" w:rsidP="00BC1B83">
            <w:pPr>
              <w:jc w:val="center"/>
              <w:rPr>
                <w:sz w:val="20"/>
                <w:szCs w:val="20"/>
              </w:rPr>
            </w:pPr>
            <w:r w:rsidRPr="00727E15">
              <w:rPr>
                <w:sz w:val="20"/>
                <w:szCs w:val="20"/>
              </w:rPr>
              <w:t>-11,3</w:t>
            </w:r>
          </w:p>
        </w:tc>
        <w:tc>
          <w:tcPr>
            <w:tcW w:w="920" w:type="dxa"/>
            <w:tcBorders>
              <w:top w:val="nil"/>
              <w:left w:val="single" w:sz="4" w:space="0" w:color="auto"/>
              <w:bottom w:val="nil"/>
              <w:right w:val="single" w:sz="4" w:space="0" w:color="auto"/>
            </w:tcBorders>
            <w:shd w:val="clear" w:color="000000" w:fill="FEE983"/>
            <w:noWrap/>
            <w:vAlign w:val="bottom"/>
            <w:hideMark/>
          </w:tcPr>
          <w:p w14:paraId="4F1F4E01" w14:textId="77777777" w:rsidR="005222B6" w:rsidRPr="00727E15" w:rsidRDefault="005222B6" w:rsidP="00BC1B83">
            <w:pPr>
              <w:jc w:val="center"/>
              <w:rPr>
                <w:sz w:val="20"/>
                <w:szCs w:val="20"/>
              </w:rPr>
            </w:pPr>
            <w:r w:rsidRPr="00727E15">
              <w:rPr>
                <w:sz w:val="20"/>
                <w:szCs w:val="20"/>
              </w:rPr>
              <w:t>-9,6</w:t>
            </w:r>
          </w:p>
        </w:tc>
      </w:tr>
      <w:tr w:rsidR="005222B6" w:rsidRPr="00727E15" w14:paraId="61A1C088"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4E92910C" w14:textId="77777777" w:rsidR="005222B6" w:rsidRPr="00727E15" w:rsidRDefault="005222B6" w:rsidP="00BC1B83">
            <w:pPr>
              <w:rPr>
                <w:sz w:val="20"/>
                <w:szCs w:val="20"/>
              </w:rPr>
            </w:pPr>
            <w:r w:rsidRPr="00727E15">
              <w:rPr>
                <w:sz w:val="20"/>
                <w:szCs w:val="20"/>
              </w:rPr>
              <w:t>B - Pesca</w:t>
            </w:r>
          </w:p>
        </w:tc>
        <w:tc>
          <w:tcPr>
            <w:tcW w:w="920" w:type="dxa"/>
            <w:tcBorders>
              <w:top w:val="nil"/>
              <w:left w:val="single" w:sz="4" w:space="0" w:color="auto"/>
              <w:bottom w:val="nil"/>
              <w:right w:val="single" w:sz="4" w:space="0" w:color="auto"/>
            </w:tcBorders>
            <w:shd w:val="clear" w:color="000000" w:fill="FCB379"/>
            <w:noWrap/>
            <w:vAlign w:val="bottom"/>
            <w:hideMark/>
          </w:tcPr>
          <w:p w14:paraId="67D366AD" w14:textId="77777777" w:rsidR="005222B6" w:rsidRPr="00727E15" w:rsidRDefault="005222B6" w:rsidP="00BC1B83">
            <w:pPr>
              <w:jc w:val="center"/>
              <w:rPr>
                <w:sz w:val="20"/>
                <w:szCs w:val="20"/>
              </w:rPr>
            </w:pPr>
            <w:r w:rsidRPr="00727E15">
              <w:rPr>
                <w:sz w:val="20"/>
                <w:szCs w:val="20"/>
              </w:rPr>
              <w:t>-41,7</w:t>
            </w:r>
          </w:p>
        </w:tc>
        <w:tc>
          <w:tcPr>
            <w:tcW w:w="920" w:type="dxa"/>
            <w:tcBorders>
              <w:top w:val="nil"/>
              <w:left w:val="single" w:sz="4" w:space="0" w:color="auto"/>
              <w:bottom w:val="nil"/>
              <w:right w:val="single" w:sz="4" w:space="0" w:color="auto"/>
            </w:tcBorders>
            <w:shd w:val="clear" w:color="000000" w:fill="F1E784"/>
            <w:noWrap/>
            <w:vAlign w:val="bottom"/>
            <w:hideMark/>
          </w:tcPr>
          <w:p w14:paraId="3416FB93" w14:textId="77777777" w:rsidR="005222B6" w:rsidRPr="00727E15" w:rsidRDefault="005222B6" w:rsidP="00BC1B83">
            <w:pPr>
              <w:jc w:val="center"/>
              <w:rPr>
                <w:sz w:val="20"/>
                <w:szCs w:val="20"/>
              </w:rPr>
            </w:pPr>
            <w:r w:rsidRPr="00727E15">
              <w:rPr>
                <w:sz w:val="20"/>
                <w:szCs w:val="20"/>
              </w:rPr>
              <w:t>-2,2</w:t>
            </w:r>
          </w:p>
        </w:tc>
        <w:tc>
          <w:tcPr>
            <w:tcW w:w="920" w:type="dxa"/>
            <w:tcBorders>
              <w:top w:val="nil"/>
              <w:left w:val="single" w:sz="4" w:space="0" w:color="auto"/>
              <w:bottom w:val="nil"/>
              <w:right w:val="single" w:sz="4" w:space="0" w:color="auto"/>
            </w:tcBorders>
            <w:shd w:val="clear" w:color="000000" w:fill="FBA676"/>
            <w:noWrap/>
            <w:vAlign w:val="bottom"/>
            <w:hideMark/>
          </w:tcPr>
          <w:p w14:paraId="70BE127D" w14:textId="77777777" w:rsidR="005222B6" w:rsidRPr="00727E15" w:rsidRDefault="005222B6" w:rsidP="00BC1B83">
            <w:pPr>
              <w:jc w:val="center"/>
              <w:rPr>
                <w:sz w:val="20"/>
                <w:szCs w:val="20"/>
              </w:rPr>
            </w:pPr>
            <w:r w:rsidRPr="00727E15">
              <w:rPr>
                <w:sz w:val="20"/>
                <w:szCs w:val="20"/>
              </w:rPr>
              <w:t>-49,6</w:t>
            </w:r>
          </w:p>
        </w:tc>
        <w:tc>
          <w:tcPr>
            <w:tcW w:w="920" w:type="dxa"/>
            <w:tcBorders>
              <w:top w:val="nil"/>
              <w:left w:val="single" w:sz="4" w:space="0" w:color="auto"/>
              <w:bottom w:val="nil"/>
              <w:right w:val="single" w:sz="4" w:space="0" w:color="auto"/>
            </w:tcBorders>
            <w:shd w:val="clear" w:color="000000" w:fill="FED980"/>
            <w:noWrap/>
            <w:vAlign w:val="bottom"/>
            <w:hideMark/>
          </w:tcPr>
          <w:p w14:paraId="46D82851" w14:textId="77777777" w:rsidR="005222B6" w:rsidRPr="00727E15" w:rsidRDefault="005222B6" w:rsidP="00BC1B83">
            <w:pPr>
              <w:jc w:val="center"/>
              <w:rPr>
                <w:sz w:val="20"/>
                <w:szCs w:val="20"/>
              </w:rPr>
            </w:pPr>
            <w:r w:rsidRPr="00727E15">
              <w:rPr>
                <w:sz w:val="20"/>
                <w:szCs w:val="20"/>
              </w:rPr>
              <w:t>-19,0</w:t>
            </w:r>
          </w:p>
        </w:tc>
        <w:tc>
          <w:tcPr>
            <w:tcW w:w="920" w:type="dxa"/>
            <w:tcBorders>
              <w:top w:val="nil"/>
              <w:left w:val="single" w:sz="4" w:space="0" w:color="auto"/>
              <w:bottom w:val="nil"/>
              <w:right w:val="single" w:sz="4" w:space="0" w:color="auto"/>
            </w:tcBorders>
            <w:shd w:val="clear" w:color="000000" w:fill="63BE7B"/>
            <w:noWrap/>
            <w:vAlign w:val="bottom"/>
            <w:hideMark/>
          </w:tcPr>
          <w:p w14:paraId="6D8F7C45" w14:textId="77777777" w:rsidR="005222B6" w:rsidRPr="00727E15" w:rsidRDefault="005222B6" w:rsidP="00BC1B83">
            <w:pPr>
              <w:jc w:val="center"/>
              <w:rPr>
                <w:sz w:val="20"/>
                <w:szCs w:val="20"/>
              </w:rPr>
            </w:pPr>
            <w:r w:rsidRPr="00727E15">
              <w:rPr>
                <w:sz w:val="20"/>
                <w:szCs w:val="20"/>
              </w:rPr>
              <w:t>61,7</w:t>
            </w:r>
          </w:p>
        </w:tc>
        <w:tc>
          <w:tcPr>
            <w:tcW w:w="920" w:type="dxa"/>
            <w:tcBorders>
              <w:top w:val="nil"/>
              <w:left w:val="single" w:sz="4" w:space="0" w:color="auto"/>
              <w:bottom w:val="nil"/>
              <w:right w:val="single" w:sz="4" w:space="0" w:color="auto"/>
            </w:tcBorders>
            <w:shd w:val="clear" w:color="000000" w:fill="FA9F75"/>
            <w:noWrap/>
            <w:vAlign w:val="bottom"/>
            <w:hideMark/>
          </w:tcPr>
          <w:p w14:paraId="349F62E5" w14:textId="77777777" w:rsidR="005222B6" w:rsidRPr="00727E15" w:rsidRDefault="005222B6" w:rsidP="00BC1B83">
            <w:pPr>
              <w:jc w:val="center"/>
              <w:rPr>
                <w:sz w:val="20"/>
                <w:szCs w:val="20"/>
              </w:rPr>
            </w:pPr>
            <w:r w:rsidRPr="00727E15">
              <w:rPr>
                <w:sz w:val="20"/>
                <w:szCs w:val="20"/>
              </w:rPr>
              <w:t>-53,6</w:t>
            </w:r>
          </w:p>
        </w:tc>
      </w:tr>
      <w:tr w:rsidR="005222B6" w:rsidRPr="00727E15" w14:paraId="15089297"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15641D57" w14:textId="77777777" w:rsidR="005222B6" w:rsidRPr="00727E15" w:rsidRDefault="005222B6" w:rsidP="00BC1B83">
            <w:pPr>
              <w:rPr>
                <w:sz w:val="20"/>
                <w:szCs w:val="20"/>
              </w:rPr>
            </w:pPr>
            <w:r w:rsidRPr="00727E15">
              <w:rPr>
                <w:sz w:val="20"/>
                <w:szCs w:val="20"/>
              </w:rPr>
              <w:t>C - Explotación de minas y canteras</w:t>
            </w:r>
          </w:p>
        </w:tc>
        <w:tc>
          <w:tcPr>
            <w:tcW w:w="920" w:type="dxa"/>
            <w:tcBorders>
              <w:top w:val="nil"/>
              <w:left w:val="single" w:sz="4" w:space="0" w:color="auto"/>
              <w:bottom w:val="nil"/>
              <w:right w:val="single" w:sz="4" w:space="0" w:color="auto"/>
            </w:tcBorders>
            <w:shd w:val="clear" w:color="000000" w:fill="EBE683"/>
            <w:noWrap/>
            <w:vAlign w:val="bottom"/>
            <w:hideMark/>
          </w:tcPr>
          <w:p w14:paraId="3CC656B7" w14:textId="77777777" w:rsidR="005222B6" w:rsidRPr="00727E15" w:rsidRDefault="005222B6" w:rsidP="00BC1B83">
            <w:pPr>
              <w:jc w:val="center"/>
              <w:rPr>
                <w:sz w:val="20"/>
                <w:szCs w:val="20"/>
              </w:rPr>
            </w:pPr>
            <w:r w:rsidRPr="00727E15">
              <w:rPr>
                <w:sz w:val="20"/>
                <w:szCs w:val="20"/>
              </w:rPr>
              <w:t>0,3</w:t>
            </w:r>
          </w:p>
        </w:tc>
        <w:tc>
          <w:tcPr>
            <w:tcW w:w="920" w:type="dxa"/>
            <w:tcBorders>
              <w:top w:val="nil"/>
              <w:left w:val="single" w:sz="4" w:space="0" w:color="auto"/>
              <w:bottom w:val="nil"/>
              <w:right w:val="single" w:sz="4" w:space="0" w:color="auto"/>
            </w:tcBorders>
            <w:shd w:val="clear" w:color="000000" w:fill="E3E383"/>
            <w:noWrap/>
            <w:vAlign w:val="bottom"/>
            <w:hideMark/>
          </w:tcPr>
          <w:p w14:paraId="1FF98898" w14:textId="77777777" w:rsidR="005222B6" w:rsidRPr="00727E15" w:rsidRDefault="005222B6" w:rsidP="00BC1B83">
            <w:pPr>
              <w:jc w:val="center"/>
              <w:rPr>
                <w:sz w:val="20"/>
                <w:szCs w:val="20"/>
              </w:rPr>
            </w:pPr>
            <w:r w:rsidRPr="00727E15">
              <w:rPr>
                <w:sz w:val="20"/>
                <w:szCs w:val="20"/>
              </w:rPr>
              <w:t>4,2</w:t>
            </w:r>
          </w:p>
        </w:tc>
        <w:tc>
          <w:tcPr>
            <w:tcW w:w="920" w:type="dxa"/>
            <w:tcBorders>
              <w:top w:val="nil"/>
              <w:left w:val="single" w:sz="4" w:space="0" w:color="auto"/>
              <w:bottom w:val="nil"/>
              <w:right w:val="single" w:sz="4" w:space="0" w:color="auto"/>
            </w:tcBorders>
            <w:shd w:val="clear" w:color="000000" w:fill="F3E884"/>
            <w:noWrap/>
            <w:vAlign w:val="bottom"/>
            <w:hideMark/>
          </w:tcPr>
          <w:p w14:paraId="42F9E817" w14:textId="77777777" w:rsidR="005222B6" w:rsidRPr="00727E15" w:rsidRDefault="005222B6" w:rsidP="00BC1B83">
            <w:pPr>
              <w:jc w:val="center"/>
              <w:rPr>
                <w:sz w:val="20"/>
                <w:szCs w:val="20"/>
              </w:rPr>
            </w:pPr>
            <w:r w:rsidRPr="00727E15">
              <w:rPr>
                <w:sz w:val="20"/>
                <w:szCs w:val="20"/>
              </w:rPr>
              <w:t>-3,1</w:t>
            </w:r>
          </w:p>
        </w:tc>
        <w:tc>
          <w:tcPr>
            <w:tcW w:w="920" w:type="dxa"/>
            <w:tcBorders>
              <w:top w:val="nil"/>
              <w:left w:val="single" w:sz="4" w:space="0" w:color="auto"/>
              <w:bottom w:val="nil"/>
              <w:right w:val="single" w:sz="4" w:space="0" w:color="auto"/>
            </w:tcBorders>
            <w:shd w:val="clear" w:color="000000" w:fill="FDD780"/>
            <w:noWrap/>
            <w:vAlign w:val="bottom"/>
            <w:hideMark/>
          </w:tcPr>
          <w:p w14:paraId="08498F07" w14:textId="77777777" w:rsidR="005222B6" w:rsidRPr="00727E15" w:rsidRDefault="005222B6" w:rsidP="00BC1B83">
            <w:pPr>
              <w:jc w:val="center"/>
              <w:rPr>
                <w:sz w:val="20"/>
                <w:szCs w:val="20"/>
              </w:rPr>
            </w:pPr>
            <w:r w:rsidRPr="00727E15">
              <w:rPr>
                <w:sz w:val="20"/>
                <w:szCs w:val="20"/>
              </w:rPr>
              <w:t>-20,2</w:t>
            </w:r>
          </w:p>
        </w:tc>
        <w:tc>
          <w:tcPr>
            <w:tcW w:w="920" w:type="dxa"/>
            <w:tcBorders>
              <w:top w:val="nil"/>
              <w:left w:val="single" w:sz="4" w:space="0" w:color="auto"/>
              <w:bottom w:val="nil"/>
              <w:right w:val="single" w:sz="4" w:space="0" w:color="auto"/>
            </w:tcBorders>
            <w:shd w:val="clear" w:color="000000" w:fill="FDD880"/>
            <w:noWrap/>
            <w:vAlign w:val="bottom"/>
            <w:hideMark/>
          </w:tcPr>
          <w:p w14:paraId="0900BCC3" w14:textId="77777777" w:rsidR="005222B6" w:rsidRPr="00727E15" w:rsidRDefault="005222B6" w:rsidP="00BC1B83">
            <w:pPr>
              <w:jc w:val="center"/>
              <w:rPr>
                <w:sz w:val="20"/>
                <w:szCs w:val="20"/>
              </w:rPr>
            </w:pPr>
            <w:r w:rsidRPr="00727E15">
              <w:rPr>
                <w:sz w:val="20"/>
                <w:szCs w:val="20"/>
              </w:rPr>
              <w:t>-20,0</w:t>
            </w:r>
          </w:p>
        </w:tc>
        <w:tc>
          <w:tcPr>
            <w:tcW w:w="920" w:type="dxa"/>
            <w:tcBorders>
              <w:top w:val="nil"/>
              <w:left w:val="single" w:sz="4" w:space="0" w:color="auto"/>
              <w:bottom w:val="nil"/>
              <w:right w:val="single" w:sz="4" w:space="0" w:color="auto"/>
            </w:tcBorders>
            <w:shd w:val="clear" w:color="000000" w:fill="FEDF81"/>
            <w:noWrap/>
            <w:vAlign w:val="bottom"/>
            <w:hideMark/>
          </w:tcPr>
          <w:p w14:paraId="7C5647AC" w14:textId="77777777" w:rsidR="005222B6" w:rsidRPr="00727E15" w:rsidRDefault="005222B6" w:rsidP="00BC1B83">
            <w:pPr>
              <w:jc w:val="center"/>
              <w:rPr>
                <w:sz w:val="20"/>
                <w:szCs w:val="20"/>
              </w:rPr>
            </w:pPr>
            <w:r w:rsidRPr="00727E15">
              <w:rPr>
                <w:sz w:val="20"/>
                <w:szCs w:val="20"/>
              </w:rPr>
              <w:t>-15,5</w:t>
            </w:r>
          </w:p>
        </w:tc>
      </w:tr>
      <w:tr w:rsidR="005222B6" w:rsidRPr="00727E15" w14:paraId="4F962DFA"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04EC5D23" w14:textId="77777777" w:rsidR="005222B6" w:rsidRPr="00727E15" w:rsidRDefault="005222B6" w:rsidP="00BC1B83">
            <w:pPr>
              <w:rPr>
                <w:sz w:val="20"/>
                <w:szCs w:val="20"/>
              </w:rPr>
            </w:pPr>
            <w:r w:rsidRPr="00727E15">
              <w:rPr>
                <w:sz w:val="20"/>
                <w:szCs w:val="20"/>
              </w:rPr>
              <w:t>D - Industria manufacturera</w:t>
            </w:r>
          </w:p>
        </w:tc>
        <w:tc>
          <w:tcPr>
            <w:tcW w:w="920" w:type="dxa"/>
            <w:tcBorders>
              <w:top w:val="nil"/>
              <w:left w:val="single" w:sz="4" w:space="0" w:color="auto"/>
              <w:bottom w:val="nil"/>
              <w:right w:val="single" w:sz="4" w:space="0" w:color="auto"/>
            </w:tcBorders>
            <w:shd w:val="clear" w:color="000000" w:fill="F0E784"/>
            <w:noWrap/>
            <w:vAlign w:val="bottom"/>
            <w:hideMark/>
          </w:tcPr>
          <w:p w14:paraId="7ABDB69E" w14:textId="77777777" w:rsidR="005222B6" w:rsidRPr="00727E15" w:rsidRDefault="005222B6" w:rsidP="00BC1B83">
            <w:pPr>
              <w:jc w:val="center"/>
              <w:rPr>
                <w:sz w:val="20"/>
                <w:szCs w:val="20"/>
              </w:rPr>
            </w:pPr>
            <w:r w:rsidRPr="00727E15">
              <w:rPr>
                <w:sz w:val="20"/>
                <w:szCs w:val="20"/>
              </w:rPr>
              <w:t>-1,7</w:t>
            </w:r>
          </w:p>
        </w:tc>
        <w:tc>
          <w:tcPr>
            <w:tcW w:w="920" w:type="dxa"/>
            <w:tcBorders>
              <w:top w:val="nil"/>
              <w:left w:val="single" w:sz="4" w:space="0" w:color="auto"/>
              <w:bottom w:val="nil"/>
              <w:right w:val="single" w:sz="4" w:space="0" w:color="auto"/>
            </w:tcBorders>
            <w:shd w:val="clear" w:color="000000" w:fill="EFE784"/>
            <w:noWrap/>
            <w:vAlign w:val="bottom"/>
            <w:hideMark/>
          </w:tcPr>
          <w:p w14:paraId="5B13C05C" w14:textId="77777777" w:rsidR="005222B6" w:rsidRPr="00727E15" w:rsidRDefault="005222B6" w:rsidP="00BC1B83">
            <w:pPr>
              <w:jc w:val="center"/>
              <w:rPr>
                <w:sz w:val="20"/>
                <w:szCs w:val="20"/>
              </w:rPr>
            </w:pPr>
            <w:r w:rsidRPr="00727E15">
              <w:rPr>
                <w:sz w:val="20"/>
                <w:szCs w:val="20"/>
              </w:rPr>
              <w:t>-1,5</w:t>
            </w:r>
          </w:p>
        </w:tc>
        <w:tc>
          <w:tcPr>
            <w:tcW w:w="920" w:type="dxa"/>
            <w:tcBorders>
              <w:top w:val="nil"/>
              <w:left w:val="single" w:sz="4" w:space="0" w:color="auto"/>
              <w:bottom w:val="nil"/>
              <w:right w:val="single" w:sz="4" w:space="0" w:color="auto"/>
            </w:tcBorders>
            <w:shd w:val="clear" w:color="000000" w:fill="FEDF81"/>
            <w:noWrap/>
            <w:vAlign w:val="bottom"/>
            <w:hideMark/>
          </w:tcPr>
          <w:p w14:paraId="1FC77818" w14:textId="77777777" w:rsidR="005222B6" w:rsidRPr="00727E15" w:rsidRDefault="005222B6" w:rsidP="00BC1B83">
            <w:pPr>
              <w:jc w:val="center"/>
              <w:rPr>
                <w:sz w:val="20"/>
                <w:szCs w:val="20"/>
              </w:rPr>
            </w:pPr>
            <w:r w:rsidRPr="00727E15">
              <w:rPr>
                <w:sz w:val="20"/>
                <w:szCs w:val="20"/>
              </w:rPr>
              <w:t>-15,4</w:t>
            </w:r>
          </w:p>
        </w:tc>
        <w:tc>
          <w:tcPr>
            <w:tcW w:w="920" w:type="dxa"/>
            <w:tcBorders>
              <w:top w:val="nil"/>
              <w:left w:val="single" w:sz="4" w:space="0" w:color="auto"/>
              <w:bottom w:val="nil"/>
              <w:right w:val="single" w:sz="4" w:space="0" w:color="auto"/>
            </w:tcBorders>
            <w:shd w:val="clear" w:color="000000" w:fill="FCC07B"/>
            <w:noWrap/>
            <w:vAlign w:val="bottom"/>
            <w:hideMark/>
          </w:tcPr>
          <w:p w14:paraId="4256EF0F" w14:textId="77777777" w:rsidR="005222B6" w:rsidRPr="00727E15" w:rsidRDefault="005222B6" w:rsidP="00BC1B83">
            <w:pPr>
              <w:jc w:val="center"/>
              <w:rPr>
                <w:sz w:val="20"/>
                <w:szCs w:val="20"/>
              </w:rPr>
            </w:pPr>
            <w:r w:rsidRPr="00727E15">
              <w:rPr>
                <w:sz w:val="20"/>
                <w:szCs w:val="20"/>
              </w:rPr>
              <w:t>-33,9</w:t>
            </w:r>
          </w:p>
        </w:tc>
        <w:tc>
          <w:tcPr>
            <w:tcW w:w="920" w:type="dxa"/>
            <w:tcBorders>
              <w:top w:val="nil"/>
              <w:left w:val="single" w:sz="4" w:space="0" w:color="auto"/>
              <w:bottom w:val="nil"/>
              <w:right w:val="single" w:sz="4" w:space="0" w:color="auto"/>
            </w:tcBorders>
            <w:shd w:val="clear" w:color="000000" w:fill="FDCE7E"/>
            <w:noWrap/>
            <w:vAlign w:val="bottom"/>
            <w:hideMark/>
          </w:tcPr>
          <w:p w14:paraId="1C1DF116" w14:textId="77777777" w:rsidR="005222B6" w:rsidRPr="00727E15" w:rsidRDefault="005222B6" w:rsidP="00BC1B83">
            <w:pPr>
              <w:jc w:val="center"/>
              <w:rPr>
                <w:sz w:val="20"/>
                <w:szCs w:val="20"/>
              </w:rPr>
            </w:pPr>
            <w:r w:rsidRPr="00727E15">
              <w:rPr>
                <w:sz w:val="20"/>
                <w:szCs w:val="20"/>
              </w:rPr>
              <w:t>-25,5</w:t>
            </w:r>
          </w:p>
        </w:tc>
        <w:tc>
          <w:tcPr>
            <w:tcW w:w="920" w:type="dxa"/>
            <w:tcBorders>
              <w:top w:val="nil"/>
              <w:left w:val="single" w:sz="4" w:space="0" w:color="auto"/>
              <w:bottom w:val="nil"/>
              <w:right w:val="single" w:sz="4" w:space="0" w:color="auto"/>
            </w:tcBorders>
            <w:shd w:val="clear" w:color="000000" w:fill="FCEB84"/>
            <w:noWrap/>
            <w:vAlign w:val="bottom"/>
            <w:hideMark/>
          </w:tcPr>
          <w:p w14:paraId="43B69C47" w14:textId="77777777" w:rsidR="005222B6" w:rsidRPr="00727E15" w:rsidRDefault="005222B6" w:rsidP="00BC1B83">
            <w:pPr>
              <w:jc w:val="center"/>
              <w:rPr>
                <w:sz w:val="20"/>
                <w:szCs w:val="20"/>
              </w:rPr>
            </w:pPr>
            <w:r w:rsidRPr="00727E15">
              <w:rPr>
                <w:sz w:val="20"/>
                <w:szCs w:val="20"/>
              </w:rPr>
              <w:t>-7,3</w:t>
            </w:r>
          </w:p>
        </w:tc>
      </w:tr>
      <w:tr w:rsidR="005222B6" w:rsidRPr="00727E15" w14:paraId="4AF9B395"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4F6EB606" w14:textId="77777777" w:rsidR="005222B6" w:rsidRPr="00727E15" w:rsidRDefault="005222B6" w:rsidP="00BC1B83">
            <w:pPr>
              <w:rPr>
                <w:sz w:val="20"/>
                <w:szCs w:val="20"/>
              </w:rPr>
            </w:pPr>
            <w:r w:rsidRPr="00727E15">
              <w:rPr>
                <w:sz w:val="20"/>
                <w:szCs w:val="20"/>
              </w:rPr>
              <w:t>E - Electricidad, gas y agua</w:t>
            </w:r>
          </w:p>
        </w:tc>
        <w:tc>
          <w:tcPr>
            <w:tcW w:w="920" w:type="dxa"/>
            <w:tcBorders>
              <w:top w:val="nil"/>
              <w:left w:val="single" w:sz="4" w:space="0" w:color="auto"/>
              <w:bottom w:val="nil"/>
              <w:right w:val="single" w:sz="4" w:space="0" w:color="auto"/>
            </w:tcBorders>
            <w:shd w:val="clear" w:color="000000" w:fill="E5E483"/>
            <w:noWrap/>
            <w:vAlign w:val="bottom"/>
            <w:hideMark/>
          </w:tcPr>
          <w:p w14:paraId="6549D4BA" w14:textId="77777777" w:rsidR="005222B6" w:rsidRPr="00727E15" w:rsidRDefault="005222B6" w:rsidP="00BC1B83">
            <w:pPr>
              <w:jc w:val="center"/>
              <w:rPr>
                <w:sz w:val="20"/>
                <w:szCs w:val="20"/>
              </w:rPr>
            </w:pPr>
            <w:r w:rsidRPr="00727E15">
              <w:rPr>
                <w:sz w:val="20"/>
                <w:szCs w:val="20"/>
              </w:rPr>
              <w:t>3,4</w:t>
            </w:r>
          </w:p>
        </w:tc>
        <w:tc>
          <w:tcPr>
            <w:tcW w:w="920" w:type="dxa"/>
            <w:tcBorders>
              <w:top w:val="nil"/>
              <w:left w:val="single" w:sz="4" w:space="0" w:color="auto"/>
              <w:bottom w:val="nil"/>
              <w:right w:val="single" w:sz="4" w:space="0" w:color="auto"/>
            </w:tcBorders>
            <w:shd w:val="clear" w:color="000000" w:fill="EAE583"/>
            <w:noWrap/>
            <w:vAlign w:val="bottom"/>
            <w:hideMark/>
          </w:tcPr>
          <w:p w14:paraId="5C72C786" w14:textId="77777777" w:rsidR="005222B6" w:rsidRPr="00727E15" w:rsidRDefault="005222B6" w:rsidP="00BC1B83">
            <w:pPr>
              <w:jc w:val="center"/>
              <w:rPr>
                <w:sz w:val="20"/>
                <w:szCs w:val="20"/>
              </w:rPr>
            </w:pPr>
            <w:r w:rsidRPr="00727E15">
              <w:rPr>
                <w:sz w:val="20"/>
                <w:szCs w:val="20"/>
              </w:rPr>
              <w:t>0,7</w:t>
            </w:r>
          </w:p>
        </w:tc>
        <w:tc>
          <w:tcPr>
            <w:tcW w:w="920" w:type="dxa"/>
            <w:tcBorders>
              <w:top w:val="nil"/>
              <w:left w:val="single" w:sz="4" w:space="0" w:color="auto"/>
              <w:bottom w:val="nil"/>
              <w:right w:val="single" w:sz="4" w:space="0" w:color="auto"/>
            </w:tcBorders>
            <w:shd w:val="clear" w:color="000000" w:fill="DCE182"/>
            <w:noWrap/>
            <w:vAlign w:val="bottom"/>
            <w:hideMark/>
          </w:tcPr>
          <w:p w14:paraId="3A5D455C" w14:textId="77777777" w:rsidR="005222B6" w:rsidRPr="00727E15" w:rsidRDefault="005222B6" w:rsidP="00BC1B83">
            <w:pPr>
              <w:jc w:val="center"/>
              <w:rPr>
                <w:sz w:val="20"/>
                <w:szCs w:val="20"/>
              </w:rPr>
            </w:pPr>
            <w:r w:rsidRPr="00727E15">
              <w:rPr>
                <w:sz w:val="20"/>
                <w:szCs w:val="20"/>
              </w:rPr>
              <w:t>7,4</w:t>
            </w:r>
          </w:p>
        </w:tc>
        <w:tc>
          <w:tcPr>
            <w:tcW w:w="920" w:type="dxa"/>
            <w:tcBorders>
              <w:top w:val="nil"/>
              <w:left w:val="single" w:sz="4" w:space="0" w:color="auto"/>
              <w:bottom w:val="nil"/>
              <w:right w:val="single" w:sz="4" w:space="0" w:color="auto"/>
            </w:tcBorders>
            <w:shd w:val="clear" w:color="000000" w:fill="FEEB84"/>
            <w:noWrap/>
            <w:vAlign w:val="bottom"/>
            <w:hideMark/>
          </w:tcPr>
          <w:p w14:paraId="273AA08E" w14:textId="77777777" w:rsidR="005222B6" w:rsidRPr="00727E15" w:rsidRDefault="005222B6" w:rsidP="00BC1B83">
            <w:pPr>
              <w:jc w:val="center"/>
              <w:rPr>
                <w:sz w:val="20"/>
                <w:szCs w:val="20"/>
              </w:rPr>
            </w:pPr>
            <w:r w:rsidRPr="00727E15">
              <w:rPr>
                <w:sz w:val="20"/>
                <w:szCs w:val="20"/>
              </w:rPr>
              <w:t>-8,0</w:t>
            </w:r>
          </w:p>
        </w:tc>
        <w:tc>
          <w:tcPr>
            <w:tcW w:w="920" w:type="dxa"/>
            <w:tcBorders>
              <w:top w:val="nil"/>
              <w:left w:val="single" w:sz="4" w:space="0" w:color="auto"/>
              <w:bottom w:val="nil"/>
              <w:right w:val="single" w:sz="4" w:space="0" w:color="auto"/>
            </w:tcBorders>
            <w:shd w:val="clear" w:color="000000" w:fill="F8E984"/>
            <w:noWrap/>
            <w:vAlign w:val="bottom"/>
            <w:hideMark/>
          </w:tcPr>
          <w:p w14:paraId="0F2E4207" w14:textId="77777777" w:rsidR="005222B6" w:rsidRPr="00727E15" w:rsidRDefault="005222B6" w:rsidP="00BC1B83">
            <w:pPr>
              <w:jc w:val="center"/>
              <w:rPr>
                <w:sz w:val="20"/>
                <w:szCs w:val="20"/>
              </w:rPr>
            </w:pPr>
            <w:r w:rsidRPr="00727E15">
              <w:rPr>
                <w:sz w:val="20"/>
                <w:szCs w:val="20"/>
              </w:rPr>
              <w:t>-5,3</w:t>
            </w:r>
          </w:p>
        </w:tc>
        <w:tc>
          <w:tcPr>
            <w:tcW w:w="920" w:type="dxa"/>
            <w:tcBorders>
              <w:top w:val="nil"/>
              <w:left w:val="single" w:sz="4" w:space="0" w:color="auto"/>
              <w:bottom w:val="nil"/>
              <w:right w:val="single" w:sz="4" w:space="0" w:color="auto"/>
            </w:tcBorders>
            <w:shd w:val="clear" w:color="000000" w:fill="E4E483"/>
            <w:noWrap/>
            <w:vAlign w:val="bottom"/>
            <w:hideMark/>
          </w:tcPr>
          <w:p w14:paraId="7CA7C33B" w14:textId="77777777" w:rsidR="005222B6" w:rsidRPr="00727E15" w:rsidRDefault="005222B6" w:rsidP="00BC1B83">
            <w:pPr>
              <w:jc w:val="center"/>
              <w:rPr>
                <w:sz w:val="20"/>
                <w:szCs w:val="20"/>
              </w:rPr>
            </w:pPr>
            <w:r w:rsidRPr="00727E15">
              <w:rPr>
                <w:sz w:val="20"/>
                <w:szCs w:val="20"/>
              </w:rPr>
              <w:t>3,6</w:t>
            </w:r>
          </w:p>
        </w:tc>
      </w:tr>
      <w:tr w:rsidR="005222B6" w:rsidRPr="00727E15" w14:paraId="2A46B7D1"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686B2C6D" w14:textId="77777777" w:rsidR="005222B6" w:rsidRPr="00727E15" w:rsidRDefault="005222B6" w:rsidP="00BC1B83">
            <w:pPr>
              <w:rPr>
                <w:sz w:val="20"/>
                <w:szCs w:val="20"/>
              </w:rPr>
            </w:pPr>
            <w:r w:rsidRPr="00727E15">
              <w:rPr>
                <w:sz w:val="20"/>
                <w:szCs w:val="20"/>
              </w:rPr>
              <w:t>F - Construcción</w:t>
            </w:r>
          </w:p>
        </w:tc>
        <w:tc>
          <w:tcPr>
            <w:tcW w:w="920" w:type="dxa"/>
            <w:tcBorders>
              <w:top w:val="nil"/>
              <w:left w:val="single" w:sz="4" w:space="0" w:color="auto"/>
              <w:bottom w:val="nil"/>
              <w:right w:val="single" w:sz="4" w:space="0" w:color="auto"/>
            </w:tcBorders>
            <w:shd w:val="clear" w:color="000000" w:fill="FCEA84"/>
            <w:noWrap/>
            <w:vAlign w:val="bottom"/>
            <w:hideMark/>
          </w:tcPr>
          <w:p w14:paraId="72942E82" w14:textId="77777777" w:rsidR="005222B6" w:rsidRPr="00727E15" w:rsidRDefault="005222B6" w:rsidP="00BC1B83">
            <w:pPr>
              <w:jc w:val="center"/>
              <w:rPr>
                <w:sz w:val="20"/>
                <w:szCs w:val="20"/>
              </w:rPr>
            </w:pPr>
            <w:r w:rsidRPr="00727E15">
              <w:rPr>
                <w:sz w:val="20"/>
                <w:szCs w:val="20"/>
              </w:rPr>
              <w:t>-7,0</w:t>
            </w:r>
          </w:p>
        </w:tc>
        <w:tc>
          <w:tcPr>
            <w:tcW w:w="920" w:type="dxa"/>
            <w:tcBorders>
              <w:top w:val="nil"/>
              <w:left w:val="single" w:sz="4" w:space="0" w:color="auto"/>
              <w:bottom w:val="nil"/>
              <w:right w:val="single" w:sz="4" w:space="0" w:color="auto"/>
            </w:tcBorders>
            <w:shd w:val="clear" w:color="000000" w:fill="FEE282"/>
            <w:noWrap/>
            <w:vAlign w:val="bottom"/>
            <w:hideMark/>
          </w:tcPr>
          <w:p w14:paraId="39C9140F" w14:textId="77777777" w:rsidR="005222B6" w:rsidRPr="00727E15" w:rsidRDefault="005222B6" w:rsidP="00BC1B83">
            <w:pPr>
              <w:jc w:val="center"/>
              <w:rPr>
                <w:sz w:val="20"/>
                <w:szCs w:val="20"/>
              </w:rPr>
            </w:pPr>
            <w:r w:rsidRPr="00727E15">
              <w:rPr>
                <w:sz w:val="20"/>
                <w:szCs w:val="20"/>
              </w:rPr>
              <w:t>-13,6</w:t>
            </w:r>
          </w:p>
        </w:tc>
        <w:tc>
          <w:tcPr>
            <w:tcW w:w="920" w:type="dxa"/>
            <w:tcBorders>
              <w:top w:val="nil"/>
              <w:left w:val="single" w:sz="4" w:space="0" w:color="auto"/>
              <w:bottom w:val="nil"/>
              <w:right w:val="single" w:sz="4" w:space="0" w:color="auto"/>
            </w:tcBorders>
            <w:shd w:val="clear" w:color="000000" w:fill="FCB479"/>
            <w:noWrap/>
            <w:vAlign w:val="bottom"/>
            <w:hideMark/>
          </w:tcPr>
          <w:p w14:paraId="72134D67" w14:textId="77777777" w:rsidR="005222B6" w:rsidRPr="00727E15" w:rsidRDefault="005222B6" w:rsidP="00BC1B83">
            <w:pPr>
              <w:jc w:val="center"/>
              <w:rPr>
                <w:sz w:val="20"/>
                <w:szCs w:val="20"/>
              </w:rPr>
            </w:pPr>
            <w:r w:rsidRPr="00727E15">
              <w:rPr>
                <w:sz w:val="20"/>
                <w:szCs w:val="20"/>
              </w:rPr>
              <w:t>-41,4</w:t>
            </w:r>
          </w:p>
        </w:tc>
        <w:tc>
          <w:tcPr>
            <w:tcW w:w="920" w:type="dxa"/>
            <w:tcBorders>
              <w:top w:val="nil"/>
              <w:left w:val="single" w:sz="4" w:space="0" w:color="auto"/>
              <w:bottom w:val="nil"/>
              <w:right w:val="single" w:sz="4" w:space="0" w:color="auto"/>
            </w:tcBorders>
            <w:shd w:val="clear" w:color="000000" w:fill="F8696B"/>
            <w:noWrap/>
            <w:vAlign w:val="bottom"/>
            <w:hideMark/>
          </w:tcPr>
          <w:p w14:paraId="698D4CF8" w14:textId="77777777" w:rsidR="005222B6" w:rsidRPr="00727E15" w:rsidRDefault="005222B6" w:rsidP="00BC1B83">
            <w:pPr>
              <w:jc w:val="center"/>
              <w:rPr>
                <w:sz w:val="20"/>
                <w:szCs w:val="20"/>
              </w:rPr>
            </w:pPr>
            <w:r w:rsidRPr="00727E15">
              <w:rPr>
                <w:sz w:val="20"/>
                <w:szCs w:val="20"/>
              </w:rPr>
              <w:t>-86,1</w:t>
            </w:r>
          </w:p>
        </w:tc>
        <w:tc>
          <w:tcPr>
            <w:tcW w:w="920" w:type="dxa"/>
            <w:tcBorders>
              <w:top w:val="nil"/>
              <w:left w:val="single" w:sz="4" w:space="0" w:color="auto"/>
              <w:bottom w:val="nil"/>
              <w:right w:val="single" w:sz="4" w:space="0" w:color="auto"/>
            </w:tcBorders>
            <w:shd w:val="clear" w:color="000000" w:fill="FA9172"/>
            <w:noWrap/>
            <w:vAlign w:val="bottom"/>
            <w:hideMark/>
          </w:tcPr>
          <w:p w14:paraId="6CCEBD4D" w14:textId="77777777" w:rsidR="005222B6" w:rsidRPr="00727E15" w:rsidRDefault="005222B6" w:rsidP="00BC1B83">
            <w:pPr>
              <w:jc w:val="center"/>
              <w:rPr>
                <w:sz w:val="20"/>
                <w:szCs w:val="20"/>
              </w:rPr>
            </w:pPr>
            <w:r w:rsidRPr="00727E15">
              <w:rPr>
                <w:sz w:val="20"/>
                <w:szCs w:val="20"/>
              </w:rPr>
              <w:t>-61,8</w:t>
            </w:r>
          </w:p>
        </w:tc>
        <w:tc>
          <w:tcPr>
            <w:tcW w:w="920" w:type="dxa"/>
            <w:tcBorders>
              <w:top w:val="nil"/>
              <w:left w:val="single" w:sz="4" w:space="0" w:color="auto"/>
              <w:bottom w:val="nil"/>
              <w:right w:val="single" w:sz="4" w:space="0" w:color="auto"/>
            </w:tcBorders>
            <w:shd w:val="clear" w:color="000000" w:fill="FCB379"/>
            <w:noWrap/>
            <w:vAlign w:val="bottom"/>
            <w:hideMark/>
          </w:tcPr>
          <w:p w14:paraId="524132CD" w14:textId="77777777" w:rsidR="005222B6" w:rsidRPr="00727E15" w:rsidRDefault="005222B6" w:rsidP="00BC1B83">
            <w:pPr>
              <w:jc w:val="center"/>
              <w:rPr>
                <w:sz w:val="20"/>
                <w:szCs w:val="20"/>
              </w:rPr>
            </w:pPr>
            <w:r w:rsidRPr="00727E15">
              <w:rPr>
                <w:sz w:val="20"/>
                <w:szCs w:val="20"/>
              </w:rPr>
              <w:t>-41,9</w:t>
            </w:r>
          </w:p>
        </w:tc>
      </w:tr>
      <w:tr w:rsidR="005222B6" w:rsidRPr="00727E15" w14:paraId="747BF14A"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7606A27E" w14:textId="77777777" w:rsidR="005222B6" w:rsidRPr="00727E15" w:rsidRDefault="005222B6" w:rsidP="00BC1B83">
            <w:pPr>
              <w:rPr>
                <w:sz w:val="20"/>
                <w:szCs w:val="20"/>
              </w:rPr>
            </w:pPr>
            <w:r w:rsidRPr="00727E15">
              <w:rPr>
                <w:sz w:val="20"/>
                <w:szCs w:val="20"/>
              </w:rPr>
              <w:t>G - Comercio mayorista, minorista y reparaciones</w:t>
            </w:r>
          </w:p>
        </w:tc>
        <w:tc>
          <w:tcPr>
            <w:tcW w:w="920" w:type="dxa"/>
            <w:tcBorders>
              <w:top w:val="nil"/>
              <w:left w:val="single" w:sz="4" w:space="0" w:color="auto"/>
              <w:bottom w:val="nil"/>
              <w:right w:val="single" w:sz="4" w:space="0" w:color="auto"/>
            </w:tcBorders>
            <w:shd w:val="clear" w:color="000000" w:fill="EFE784"/>
            <w:noWrap/>
            <w:vAlign w:val="bottom"/>
            <w:hideMark/>
          </w:tcPr>
          <w:p w14:paraId="7794A63E" w14:textId="77777777" w:rsidR="005222B6" w:rsidRPr="00727E15" w:rsidRDefault="005222B6" w:rsidP="00BC1B83">
            <w:pPr>
              <w:jc w:val="center"/>
              <w:rPr>
                <w:sz w:val="20"/>
                <w:szCs w:val="20"/>
              </w:rPr>
            </w:pPr>
            <w:r w:rsidRPr="00727E15">
              <w:rPr>
                <w:sz w:val="20"/>
                <w:szCs w:val="20"/>
              </w:rPr>
              <w:t>-1,2</w:t>
            </w:r>
          </w:p>
        </w:tc>
        <w:tc>
          <w:tcPr>
            <w:tcW w:w="920" w:type="dxa"/>
            <w:tcBorders>
              <w:top w:val="nil"/>
              <w:left w:val="single" w:sz="4" w:space="0" w:color="auto"/>
              <w:bottom w:val="nil"/>
              <w:right w:val="single" w:sz="4" w:space="0" w:color="auto"/>
            </w:tcBorders>
            <w:shd w:val="clear" w:color="000000" w:fill="F4E884"/>
            <w:noWrap/>
            <w:vAlign w:val="bottom"/>
            <w:hideMark/>
          </w:tcPr>
          <w:p w14:paraId="1CBA9D13" w14:textId="77777777" w:rsidR="005222B6" w:rsidRPr="00727E15" w:rsidRDefault="005222B6" w:rsidP="00BC1B83">
            <w:pPr>
              <w:jc w:val="center"/>
              <w:rPr>
                <w:sz w:val="20"/>
                <w:szCs w:val="20"/>
              </w:rPr>
            </w:pPr>
            <w:r w:rsidRPr="00727E15">
              <w:rPr>
                <w:sz w:val="20"/>
                <w:szCs w:val="20"/>
              </w:rPr>
              <w:t>-3,4</w:t>
            </w:r>
          </w:p>
        </w:tc>
        <w:tc>
          <w:tcPr>
            <w:tcW w:w="920" w:type="dxa"/>
            <w:tcBorders>
              <w:top w:val="nil"/>
              <w:left w:val="single" w:sz="4" w:space="0" w:color="auto"/>
              <w:bottom w:val="nil"/>
              <w:right w:val="single" w:sz="4" w:space="0" w:color="auto"/>
            </w:tcBorders>
            <w:shd w:val="clear" w:color="000000" w:fill="FEE282"/>
            <w:noWrap/>
            <w:vAlign w:val="bottom"/>
            <w:hideMark/>
          </w:tcPr>
          <w:p w14:paraId="3E28A1D1" w14:textId="77777777" w:rsidR="005222B6" w:rsidRPr="00727E15" w:rsidRDefault="005222B6" w:rsidP="00BC1B83">
            <w:pPr>
              <w:jc w:val="center"/>
              <w:rPr>
                <w:sz w:val="20"/>
                <w:szCs w:val="20"/>
              </w:rPr>
            </w:pPr>
            <w:r w:rsidRPr="00727E15">
              <w:rPr>
                <w:sz w:val="20"/>
                <w:szCs w:val="20"/>
              </w:rPr>
              <w:t>-13,5</w:t>
            </w:r>
          </w:p>
        </w:tc>
        <w:tc>
          <w:tcPr>
            <w:tcW w:w="920" w:type="dxa"/>
            <w:tcBorders>
              <w:top w:val="nil"/>
              <w:left w:val="single" w:sz="4" w:space="0" w:color="auto"/>
              <w:bottom w:val="nil"/>
              <w:right w:val="single" w:sz="4" w:space="0" w:color="auto"/>
            </w:tcBorders>
            <w:shd w:val="clear" w:color="000000" w:fill="FDCA7D"/>
            <w:noWrap/>
            <w:vAlign w:val="bottom"/>
            <w:hideMark/>
          </w:tcPr>
          <w:p w14:paraId="37D4A671" w14:textId="77777777" w:rsidR="005222B6" w:rsidRPr="00727E15" w:rsidRDefault="005222B6" w:rsidP="00BC1B83">
            <w:pPr>
              <w:jc w:val="center"/>
              <w:rPr>
                <w:sz w:val="20"/>
                <w:szCs w:val="20"/>
              </w:rPr>
            </w:pPr>
            <w:r w:rsidRPr="00727E15">
              <w:rPr>
                <w:sz w:val="20"/>
                <w:szCs w:val="20"/>
              </w:rPr>
              <w:t>-27,9</w:t>
            </w:r>
          </w:p>
        </w:tc>
        <w:tc>
          <w:tcPr>
            <w:tcW w:w="920" w:type="dxa"/>
            <w:tcBorders>
              <w:top w:val="nil"/>
              <w:left w:val="single" w:sz="4" w:space="0" w:color="auto"/>
              <w:bottom w:val="nil"/>
              <w:right w:val="single" w:sz="4" w:space="0" w:color="auto"/>
            </w:tcBorders>
            <w:shd w:val="clear" w:color="000000" w:fill="FDD680"/>
            <w:noWrap/>
            <w:vAlign w:val="bottom"/>
            <w:hideMark/>
          </w:tcPr>
          <w:p w14:paraId="74021CE2" w14:textId="77777777" w:rsidR="005222B6" w:rsidRPr="00727E15" w:rsidRDefault="005222B6" w:rsidP="00BC1B83">
            <w:pPr>
              <w:jc w:val="center"/>
              <w:rPr>
                <w:sz w:val="20"/>
                <w:szCs w:val="20"/>
              </w:rPr>
            </w:pPr>
            <w:r w:rsidRPr="00727E15">
              <w:rPr>
                <w:sz w:val="20"/>
                <w:szCs w:val="20"/>
              </w:rPr>
              <w:t>-20,7</w:t>
            </w:r>
          </w:p>
        </w:tc>
        <w:tc>
          <w:tcPr>
            <w:tcW w:w="920" w:type="dxa"/>
            <w:tcBorders>
              <w:top w:val="nil"/>
              <w:left w:val="single" w:sz="4" w:space="0" w:color="auto"/>
              <w:bottom w:val="nil"/>
              <w:right w:val="single" w:sz="4" w:space="0" w:color="auto"/>
            </w:tcBorders>
            <w:shd w:val="clear" w:color="000000" w:fill="EDE683"/>
            <w:noWrap/>
            <w:vAlign w:val="bottom"/>
            <w:hideMark/>
          </w:tcPr>
          <w:p w14:paraId="101AF028" w14:textId="77777777" w:rsidR="005222B6" w:rsidRPr="00727E15" w:rsidRDefault="005222B6" w:rsidP="00BC1B83">
            <w:pPr>
              <w:jc w:val="center"/>
              <w:rPr>
                <w:sz w:val="20"/>
                <w:szCs w:val="20"/>
              </w:rPr>
            </w:pPr>
            <w:r w:rsidRPr="00727E15">
              <w:rPr>
                <w:sz w:val="20"/>
                <w:szCs w:val="20"/>
              </w:rPr>
              <w:t>-0,3</w:t>
            </w:r>
          </w:p>
        </w:tc>
      </w:tr>
      <w:tr w:rsidR="005222B6" w:rsidRPr="00727E15" w14:paraId="678836BF"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51E49E04" w14:textId="77777777" w:rsidR="005222B6" w:rsidRPr="00727E15" w:rsidRDefault="005222B6" w:rsidP="00BC1B83">
            <w:pPr>
              <w:rPr>
                <w:sz w:val="20"/>
                <w:szCs w:val="20"/>
              </w:rPr>
            </w:pPr>
            <w:r w:rsidRPr="00727E15">
              <w:rPr>
                <w:sz w:val="20"/>
                <w:szCs w:val="20"/>
              </w:rPr>
              <w:t>H - Hoteles y restaurantes</w:t>
            </w:r>
          </w:p>
        </w:tc>
        <w:tc>
          <w:tcPr>
            <w:tcW w:w="920" w:type="dxa"/>
            <w:tcBorders>
              <w:top w:val="nil"/>
              <w:left w:val="single" w:sz="4" w:space="0" w:color="auto"/>
              <w:bottom w:val="nil"/>
              <w:right w:val="single" w:sz="4" w:space="0" w:color="auto"/>
            </w:tcBorders>
            <w:shd w:val="clear" w:color="000000" w:fill="EBE683"/>
            <w:noWrap/>
            <w:vAlign w:val="bottom"/>
            <w:hideMark/>
          </w:tcPr>
          <w:p w14:paraId="4A8EDC4A" w14:textId="77777777" w:rsidR="005222B6" w:rsidRPr="00727E15" w:rsidRDefault="005222B6" w:rsidP="00BC1B83">
            <w:pPr>
              <w:jc w:val="center"/>
              <w:rPr>
                <w:sz w:val="20"/>
                <w:szCs w:val="20"/>
              </w:rPr>
            </w:pPr>
            <w:r w:rsidRPr="00727E15">
              <w:rPr>
                <w:sz w:val="20"/>
                <w:szCs w:val="20"/>
              </w:rPr>
              <w:t>0,6</w:t>
            </w:r>
          </w:p>
        </w:tc>
        <w:tc>
          <w:tcPr>
            <w:tcW w:w="920" w:type="dxa"/>
            <w:tcBorders>
              <w:top w:val="nil"/>
              <w:left w:val="single" w:sz="4" w:space="0" w:color="auto"/>
              <w:bottom w:val="nil"/>
              <w:right w:val="single" w:sz="4" w:space="0" w:color="auto"/>
            </w:tcBorders>
            <w:shd w:val="clear" w:color="000000" w:fill="E6E483"/>
            <w:noWrap/>
            <w:vAlign w:val="bottom"/>
            <w:hideMark/>
          </w:tcPr>
          <w:p w14:paraId="65A5DEBE" w14:textId="77777777" w:rsidR="005222B6" w:rsidRPr="00727E15" w:rsidRDefault="005222B6" w:rsidP="00BC1B83">
            <w:pPr>
              <w:jc w:val="center"/>
              <w:rPr>
                <w:sz w:val="20"/>
                <w:szCs w:val="20"/>
              </w:rPr>
            </w:pPr>
            <w:r w:rsidRPr="00727E15">
              <w:rPr>
                <w:sz w:val="20"/>
                <w:szCs w:val="20"/>
              </w:rPr>
              <w:t>2,7</w:t>
            </w:r>
          </w:p>
        </w:tc>
        <w:tc>
          <w:tcPr>
            <w:tcW w:w="920" w:type="dxa"/>
            <w:tcBorders>
              <w:top w:val="nil"/>
              <w:left w:val="single" w:sz="4" w:space="0" w:color="auto"/>
              <w:bottom w:val="nil"/>
              <w:right w:val="single" w:sz="4" w:space="0" w:color="auto"/>
            </w:tcBorders>
            <w:shd w:val="clear" w:color="000000" w:fill="FCBE7B"/>
            <w:noWrap/>
            <w:vAlign w:val="bottom"/>
            <w:hideMark/>
          </w:tcPr>
          <w:p w14:paraId="275F1364" w14:textId="77777777" w:rsidR="005222B6" w:rsidRPr="00727E15" w:rsidRDefault="005222B6" w:rsidP="00BC1B83">
            <w:pPr>
              <w:jc w:val="center"/>
              <w:rPr>
                <w:sz w:val="20"/>
                <w:szCs w:val="20"/>
              </w:rPr>
            </w:pPr>
            <w:r w:rsidRPr="00727E15">
              <w:rPr>
                <w:sz w:val="20"/>
                <w:szCs w:val="20"/>
              </w:rPr>
              <w:t>-35,0</w:t>
            </w:r>
          </w:p>
        </w:tc>
        <w:tc>
          <w:tcPr>
            <w:tcW w:w="920" w:type="dxa"/>
            <w:tcBorders>
              <w:top w:val="nil"/>
              <w:left w:val="single" w:sz="4" w:space="0" w:color="auto"/>
              <w:bottom w:val="nil"/>
              <w:right w:val="single" w:sz="4" w:space="0" w:color="auto"/>
            </w:tcBorders>
            <w:shd w:val="clear" w:color="000000" w:fill="F86A6B"/>
            <w:noWrap/>
            <w:vAlign w:val="bottom"/>
            <w:hideMark/>
          </w:tcPr>
          <w:p w14:paraId="05779A2E" w14:textId="77777777" w:rsidR="005222B6" w:rsidRPr="00727E15" w:rsidRDefault="005222B6" w:rsidP="00BC1B83">
            <w:pPr>
              <w:jc w:val="center"/>
              <w:rPr>
                <w:sz w:val="20"/>
                <w:szCs w:val="20"/>
              </w:rPr>
            </w:pPr>
            <w:r w:rsidRPr="00727E15">
              <w:rPr>
                <w:sz w:val="20"/>
                <w:szCs w:val="20"/>
              </w:rPr>
              <w:t>-85,3</w:t>
            </w:r>
          </w:p>
        </w:tc>
        <w:tc>
          <w:tcPr>
            <w:tcW w:w="920" w:type="dxa"/>
            <w:tcBorders>
              <w:top w:val="nil"/>
              <w:left w:val="single" w:sz="4" w:space="0" w:color="auto"/>
              <w:bottom w:val="nil"/>
              <w:right w:val="single" w:sz="4" w:space="0" w:color="auto"/>
            </w:tcBorders>
            <w:shd w:val="clear" w:color="000000" w:fill="F9806F"/>
            <w:noWrap/>
            <w:vAlign w:val="bottom"/>
            <w:hideMark/>
          </w:tcPr>
          <w:p w14:paraId="586288B0" w14:textId="77777777" w:rsidR="005222B6" w:rsidRPr="00727E15" w:rsidRDefault="005222B6" w:rsidP="00BC1B83">
            <w:pPr>
              <w:jc w:val="center"/>
              <w:rPr>
                <w:sz w:val="20"/>
                <w:szCs w:val="20"/>
              </w:rPr>
            </w:pPr>
            <w:r w:rsidRPr="00727E15">
              <w:rPr>
                <w:sz w:val="20"/>
                <w:szCs w:val="20"/>
              </w:rPr>
              <w:t>-72,4</w:t>
            </w:r>
          </w:p>
        </w:tc>
        <w:tc>
          <w:tcPr>
            <w:tcW w:w="920" w:type="dxa"/>
            <w:tcBorders>
              <w:top w:val="nil"/>
              <w:left w:val="single" w:sz="4" w:space="0" w:color="auto"/>
              <w:bottom w:val="nil"/>
              <w:right w:val="single" w:sz="4" w:space="0" w:color="auto"/>
            </w:tcBorders>
            <w:shd w:val="clear" w:color="000000" w:fill="FA9072"/>
            <w:noWrap/>
            <w:vAlign w:val="bottom"/>
            <w:hideMark/>
          </w:tcPr>
          <w:p w14:paraId="5722A7B2" w14:textId="77777777" w:rsidR="005222B6" w:rsidRPr="00727E15" w:rsidRDefault="005222B6" w:rsidP="00BC1B83">
            <w:pPr>
              <w:jc w:val="center"/>
              <w:rPr>
                <w:sz w:val="20"/>
                <w:szCs w:val="20"/>
              </w:rPr>
            </w:pPr>
            <w:r w:rsidRPr="00727E15">
              <w:rPr>
                <w:sz w:val="20"/>
                <w:szCs w:val="20"/>
              </w:rPr>
              <w:t>-62,7</w:t>
            </w:r>
          </w:p>
        </w:tc>
      </w:tr>
      <w:tr w:rsidR="005222B6" w:rsidRPr="00727E15" w14:paraId="798DD3BD"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6FA92A7B" w14:textId="77777777" w:rsidR="005222B6" w:rsidRPr="00727E15" w:rsidRDefault="005222B6" w:rsidP="00BC1B83">
            <w:pPr>
              <w:rPr>
                <w:sz w:val="20"/>
                <w:szCs w:val="20"/>
              </w:rPr>
            </w:pPr>
            <w:r w:rsidRPr="00727E15">
              <w:rPr>
                <w:sz w:val="20"/>
                <w:szCs w:val="20"/>
              </w:rPr>
              <w:t>I - Transporte y comunicaciones</w:t>
            </w:r>
          </w:p>
        </w:tc>
        <w:tc>
          <w:tcPr>
            <w:tcW w:w="920" w:type="dxa"/>
            <w:tcBorders>
              <w:top w:val="nil"/>
              <w:left w:val="single" w:sz="4" w:space="0" w:color="auto"/>
              <w:bottom w:val="nil"/>
              <w:right w:val="single" w:sz="4" w:space="0" w:color="auto"/>
            </w:tcBorders>
            <w:shd w:val="clear" w:color="000000" w:fill="EEE683"/>
            <w:noWrap/>
            <w:vAlign w:val="bottom"/>
            <w:hideMark/>
          </w:tcPr>
          <w:p w14:paraId="47CF9C81" w14:textId="77777777" w:rsidR="005222B6" w:rsidRPr="00727E15" w:rsidRDefault="005222B6" w:rsidP="00BC1B83">
            <w:pPr>
              <w:jc w:val="center"/>
              <w:rPr>
                <w:sz w:val="20"/>
                <w:szCs w:val="20"/>
              </w:rPr>
            </w:pPr>
            <w:r w:rsidRPr="00727E15">
              <w:rPr>
                <w:sz w:val="20"/>
                <w:szCs w:val="20"/>
              </w:rPr>
              <w:t>-0,8</w:t>
            </w:r>
          </w:p>
        </w:tc>
        <w:tc>
          <w:tcPr>
            <w:tcW w:w="920" w:type="dxa"/>
            <w:tcBorders>
              <w:top w:val="nil"/>
              <w:left w:val="single" w:sz="4" w:space="0" w:color="auto"/>
              <w:bottom w:val="nil"/>
              <w:right w:val="single" w:sz="4" w:space="0" w:color="auto"/>
            </w:tcBorders>
            <w:shd w:val="clear" w:color="000000" w:fill="EFE784"/>
            <w:noWrap/>
            <w:vAlign w:val="bottom"/>
            <w:hideMark/>
          </w:tcPr>
          <w:p w14:paraId="02B3E964" w14:textId="77777777" w:rsidR="005222B6" w:rsidRPr="00727E15" w:rsidRDefault="005222B6" w:rsidP="00BC1B83">
            <w:pPr>
              <w:jc w:val="center"/>
              <w:rPr>
                <w:sz w:val="20"/>
                <w:szCs w:val="20"/>
              </w:rPr>
            </w:pPr>
            <w:r w:rsidRPr="00727E15">
              <w:rPr>
                <w:sz w:val="20"/>
                <w:szCs w:val="20"/>
              </w:rPr>
              <w:t>-1,1</w:t>
            </w:r>
          </w:p>
        </w:tc>
        <w:tc>
          <w:tcPr>
            <w:tcW w:w="920" w:type="dxa"/>
            <w:tcBorders>
              <w:top w:val="nil"/>
              <w:left w:val="single" w:sz="4" w:space="0" w:color="auto"/>
              <w:bottom w:val="nil"/>
              <w:right w:val="single" w:sz="4" w:space="0" w:color="auto"/>
            </w:tcBorders>
            <w:shd w:val="clear" w:color="000000" w:fill="FEE282"/>
            <w:noWrap/>
            <w:vAlign w:val="bottom"/>
            <w:hideMark/>
          </w:tcPr>
          <w:p w14:paraId="4B0D63B7" w14:textId="77777777" w:rsidR="005222B6" w:rsidRPr="00727E15" w:rsidRDefault="005222B6" w:rsidP="00BC1B83">
            <w:pPr>
              <w:jc w:val="center"/>
              <w:rPr>
                <w:sz w:val="20"/>
                <w:szCs w:val="20"/>
              </w:rPr>
            </w:pPr>
            <w:r w:rsidRPr="00727E15">
              <w:rPr>
                <w:sz w:val="20"/>
                <w:szCs w:val="20"/>
              </w:rPr>
              <w:t>-14,0</w:t>
            </w:r>
          </w:p>
        </w:tc>
        <w:tc>
          <w:tcPr>
            <w:tcW w:w="920" w:type="dxa"/>
            <w:tcBorders>
              <w:top w:val="nil"/>
              <w:left w:val="single" w:sz="4" w:space="0" w:color="auto"/>
              <w:bottom w:val="nil"/>
              <w:right w:val="single" w:sz="4" w:space="0" w:color="auto"/>
            </w:tcBorders>
            <w:shd w:val="clear" w:color="000000" w:fill="FDCD7E"/>
            <w:noWrap/>
            <w:vAlign w:val="bottom"/>
            <w:hideMark/>
          </w:tcPr>
          <w:p w14:paraId="5BB73AC6" w14:textId="77777777" w:rsidR="005222B6" w:rsidRPr="00727E15" w:rsidRDefault="005222B6" w:rsidP="00BC1B83">
            <w:pPr>
              <w:jc w:val="center"/>
              <w:rPr>
                <w:sz w:val="20"/>
                <w:szCs w:val="20"/>
              </w:rPr>
            </w:pPr>
            <w:r w:rsidRPr="00727E15">
              <w:rPr>
                <w:sz w:val="20"/>
                <w:szCs w:val="20"/>
              </w:rPr>
              <w:t>-26,0</w:t>
            </w:r>
          </w:p>
        </w:tc>
        <w:tc>
          <w:tcPr>
            <w:tcW w:w="920" w:type="dxa"/>
            <w:tcBorders>
              <w:top w:val="nil"/>
              <w:left w:val="single" w:sz="4" w:space="0" w:color="auto"/>
              <w:bottom w:val="nil"/>
              <w:right w:val="single" w:sz="4" w:space="0" w:color="auto"/>
            </w:tcBorders>
            <w:shd w:val="clear" w:color="000000" w:fill="FDD67F"/>
            <w:noWrap/>
            <w:vAlign w:val="bottom"/>
            <w:hideMark/>
          </w:tcPr>
          <w:p w14:paraId="1F569FDD" w14:textId="77777777" w:rsidR="005222B6" w:rsidRPr="00727E15" w:rsidRDefault="005222B6" w:rsidP="00BC1B83">
            <w:pPr>
              <w:jc w:val="center"/>
              <w:rPr>
                <w:sz w:val="20"/>
                <w:szCs w:val="20"/>
              </w:rPr>
            </w:pPr>
            <w:r w:rsidRPr="00727E15">
              <w:rPr>
                <w:sz w:val="20"/>
                <w:szCs w:val="20"/>
              </w:rPr>
              <w:t>-21,2</w:t>
            </w:r>
          </w:p>
        </w:tc>
        <w:tc>
          <w:tcPr>
            <w:tcW w:w="920" w:type="dxa"/>
            <w:tcBorders>
              <w:top w:val="nil"/>
              <w:left w:val="single" w:sz="4" w:space="0" w:color="auto"/>
              <w:bottom w:val="nil"/>
              <w:right w:val="single" w:sz="4" w:space="0" w:color="auto"/>
            </w:tcBorders>
            <w:shd w:val="clear" w:color="000000" w:fill="FDD680"/>
            <w:noWrap/>
            <w:vAlign w:val="bottom"/>
            <w:hideMark/>
          </w:tcPr>
          <w:p w14:paraId="593FA445" w14:textId="77777777" w:rsidR="005222B6" w:rsidRPr="00727E15" w:rsidRDefault="005222B6" w:rsidP="00BC1B83">
            <w:pPr>
              <w:jc w:val="center"/>
              <w:rPr>
                <w:sz w:val="20"/>
                <w:szCs w:val="20"/>
              </w:rPr>
            </w:pPr>
            <w:r w:rsidRPr="00727E15">
              <w:rPr>
                <w:sz w:val="20"/>
                <w:szCs w:val="20"/>
              </w:rPr>
              <w:t>-20,8</w:t>
            </w:r>
          </w:p>
        </w:tc>
      </w:tr>
      <w:tr w:rsidR="005222B6" w:rsidRPr="00727E15" w14:paraId="62D9164C"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5100F059" w14:textId="77777777" w:rsidR="005222B6" w:rsidRPr="00727E15" w:rsidRDefault="005222B6" w:rsidP="00BC1B83">
            <w:pPr>
              <w:rPr>
                <w:sz w:val="20"/>
                <w:szCs w:val="20"/>
              </w:rPr>
            </w:pPr>
            <w:r w:rsidRPr="00727E15">
              <w:rPr>
                <w:sz w:val="20"/>
                <w:szCs w:val="20"/>
              </w:rPr>
              <w:t>J - Intermediación financiera</w:t>
            </w:r>
          </w:p>
        </w:tc>
        <w:tc>
          <w:tcPr>
            <w:tcW w:w="920" w:type="dxa"/>
            <w:tcBorders>
              <w:top w:val="nil"/>
              <w:left w:val="single" w:sz="4" w:space="0" w:color="auto"/>
              <w:bottom w:val="nil"/>
              <w:right w:val="single" w:sz="4" w:space="0" w:color="auto"/>
            </w:tcBorders>
            <w:shd w:val="clear" w:color="000000" w:fill="FDEB84"/>
            <w:noWrap/>
            <w:vAlign w:val="bottom"/>
            <w:hideMark/>
          </w:tcPr>
          <w:p w14:paraId="2C115562" w14:textId="77777777" w:rsidR="005222B6" w:rsidRPr="00727E15" w:rsidRDefault="005222B6" w:rsidP="00BC1B83">
            <w:pPr>
              <w:jc w:val="center"/>
              <w:rPr>
                <w:sz w:val="20"/>
                <w:szCs w:val="20"/>
              </w:rPr>
            </w:pPr>
            <w:r w:rsidRPr="00727E15">
              <w:rPr>
                <w:sz w:val="20"/>
                <w:szCs w:val="20"/>
              </w:rPr>
              <w:t>-7,5</w:t>
            </w:r>
          </w:p>
        </w:tc>
        <w:tc>
          <w:tcPr>
            <w:tcW w:w="920" w:type="dxa"/>
            <w:tcBorders>
              <w:top w:val="nil"/>
              <w:left w:val="single" w:sz="4" w:space="0" w:color="auto"/>
              <w:bottom w:val="nil"/>
              <w:right w:val="single" w:sz="4" w:space="0" w:color="auto"/>
            </w:tcBorders>
            <w:shd w:val="clear" w:color="000000" w:fill="FBEA84"/>
            <w:noWrap/>
            <w:vAlign w:val="bottom"/>
            <w:hideMark/>
          </w:tcPr>
          <w:p w14:paraId="30055C48" w14:textId="77777777" w:rsidR="005222B6" w:rsidRPr="00727E15" w:rsidRDefault="005222B6" w:rsidP="00BC1B83">
            <w:pPr>
              <w:jc w:val="center"/>
              <w:rPr>
                <w:sz w:val="20"/>
                <w:szCs w:val="20"/>
              </w:rPr>
            </w:pPr>
            <w:r w:rsidRPr="00727E15">
              <w:rPr>
                <w:sz w:val="20"/>
                <w:szCs w:val="20"/>
              </w:rPr>
              <w:t>-6,8</w:t>
            </w:r>
          </w:p>
        </w:tc>
        <w:tc>
          <w:tcPr>
            <w:tcW w:w="920" w:type="dxa"/>
            <w:tcBorders>
              <w:top w:val="nil"/>
              <w:left w:val="single" w:sz="4" w:space="0" w:color="auto"/>
              <w:bottom w:val="nil"/>
              <w:right w:val="single" w:sz="4" w:space="0" w:color="auto"/>
            </w:tcBorders>
            <w:shd w:val="clear" w:color="000000" w:fill="F3E884"/>
            <w:noWrap/>
            <w:vAlign w:val="bottom"/>
            <w:hideMark/>
          </w:tcPr>
          <w:p w14:paraId="58B1FB2A" w14:textId="77777777" w:rsidR="005222B6" w:rsidRPr="00727E15" w:rsidRDefault="005222B6" w:rsidP="00BC1B83">
            <w:pPr>
              <w:jc w:val="center"/>
              <w:rPr>
                <w:sz w:val="20"/>
                <w:szCs w:val="20"/>
              </w:rPr>
            </w:pPr>
            <w:r w:rsidRPr="00727E15">
              <w:rPr>
                <w:sz w:val="20"/>
                <w:szCs w:val="20"/>
              </w:rPr>
              <w:t>-3,2</w:t>
            </w:r>
          </w:p>
        </w:tc>
        <w:tc>
          <w:tcPr>
            <w:tcW w:w="920" w:type="dxa"/>
            <w:tcBorders>
              <w:top w:val="nil"/>
              <w:left w:val="single" w:sz="4" w:space="0" w:color="auto"/>
              <w:bottom w:val="nil"/>
              <w:right w:val="single" w:sz="4" w:space="0" w:color="auto"/>
            </w:tcBorders>
            <w:shd w:val="clear" w:color="000000" w:fill="F3E884"/>
            <w:noWrap/>
            <w:vAlign w:val="bottom"/>
            <w:hideMark/>
          </w:tcPr>
          <w:p w14:paraId="3EFD5F43" w14:textId="77777777" w:rsidR="005222B6" w:rsidRPr="00727E15" w:rsidRDefault="005222B6" w:rsidP="00BC1B83">
            <w:pPr>
              <w:jc w:val="center"/>
              <w:rPr>
                <w:sz w:val="20"/>
                <w:szCs w:val="20"/>
              </w:rPr>
            </w:pPr>
            <w:r w:rsidRPr="00727E15">
              <w:rPr>
                <w:sz w:val="20"/>
                <w:szCs w:val="20"/>
              </w:rPr>
              <w:t>-3,2</w:t>
            </w:r>
          </w:p>
        </w:tc>
        <w:tc>
          <w:tcPr>
            <w:tcW w:w="920" w:type="dxa"/>
            <w:tcBorders>
              <w:top w:val="nil"/>
              <w:left w:val="single" w:sz="4" w:space="0" w:color="auto"/>
              <w:bottom w:val="nil"/>
              <w:right w:val="single" w:sz="4" w:space="0" w:color="auto"/>
            </w:tcBorders>
            <w:shd w:val="clear" w:color="000000" w:fill="F7E984"/>
            <w:noWrap/>
            <w:vAlign w:val="bottom"/>
            <w:hideMark/>
          </w:tcPr>
          <w:p w14:paraId="193C617D" w14:textId="77777777" w:rsidR="005222B6" w:rsidRPr="00727E15" w:rsidRDefault="005222B6" w:rsidP="00BC1B83">
            <w:pPr>
              <w:jc w:val="center"/>
              <w:rPr>
                <w:sz w:val="20"/>
                <w:szCs w:val="20"/>
              </w:rPr>
            </w:pPr>
            <w:r w:rsidRPr="00727E15">
              <w:rPr>
                <w:sz w:val="20"/>
                <w:szCs w:val="20"/>
              </w:rPr>
              <w:t>-4,8</w:t>
            </w:r>
          </w:p>
        </w:tc>
        <w:tc>
          <w:tcPr>
            <w:tcW w:w="920" w:type="dxa"/>
            <w:tcBorders>
              <w:top w:val="nil"/>
              <w:left w:val="single" w:sz="4" w:space="0" w:color="auto"/>
              <w:bottom w:val="nil"/>
              <w:right w:val="single" w:sz="4" w:space="0" w:color="auto"/>
            </w:tcBorders>
            <w:shd w:val="clear" w:color="000000" w:fill="E1E383"/>
            <w:noWrap/>
            <w:vAlign w:val="bottom"/>
            <w:hideMark/>
          </w:tcPr>
          <w:p w14:paraId="3C74AB36" w14:textId="77777777" w:rsidR="005222B6" w:rsidRPr="00727E15" w:rsidRDefault="005222B6" w:rsidP="00BC1B83">
            <w:pPr>
              <w:jc w:val="center"/>
              <w:rPr>
                <w:sz w:val="20"/>
                <w:szCs w:val="20"/>
              </w:rPr>
            </w:pPr>
            <w:r w:rsidRPr="00727E15">
              <w:rPr>
                <w:sz w:val="20"/>
                <w:szCs w:val="20"/>
              </w:rPr>
              <w:t>4,8</w:t>
            </w:r>
          </w:p>
        </w:tc>
      </w:tr>
      <w:tr w:rsidR="005222B6" w:rsidRPr="00727E15" w14:paraId="0E6BDA64"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3D396017" w14:textId="77777777" w:rsidR="005222B6" w:rsidRPr="00727E15" w:rsidRDefault="005222B6" w:rsidP="00BC1B83">
            <w:pPr>
              <w:rPr>
                <w:sz w:val="20"/>
                <w:szCs w:val="20"/>
              </w:rPr>
            </w:pPr>
            <w:r w:rsidRPr="00727E15">
              <w:rPr>
                <w:sz w:val="20"/>
                <w:szCs w:val="20"/>
              </w:rPr>
              <w:t>K - Actividades inmobiliarias, empresariales y de alquiler</w:t>
            </w:r>
          </w:p>
        </w:tc>
        <w:tc>
          <w:tcPr>
            <w:tcW w:w="920" w:type="dxa"/>
            <w:tcBorders>
              <w:top w:val="nil"/>
              <w:left w:val="single" w:sz="4" w:space="0" w:color="auto"/>
              <w:bottom w:val="nil"/>
              <w:right w:val="single" w:sz="4" w:space="0" w:color="auto"/>
            </w:tcBorders>
            <w:shd w:val="clear" w:color="000000" w:fill="EBE583"/>
            <w:noWrap/>
            <w:vAlign w:val="bottom"/>
            <w:hideMark/>
          </w:tcPr>
          <w:p w14:paraId="5D281D35" w14:textId="77777777" w:rsidR="005222B6" w:rsidRPr="00727E15" w:rsidRDefault="005222B6" w:rsidP="00BC1B83">
            <w:pPr>
              <w:jc w:val="center"/>
              <w:rPr>
                <w:sz w:val="20"/>
                <w:szCs w:val="20"/>
              </w:rPr>
            </w:pPr>
            <w:r w:rsidRPr="00727E15">
              <w:rPr>
                <w:sz w:val="20"/>
                <w:szCs w:val="20"/>
              </w:rPr>
              <w:t>0,7</w:t>
            </w:r>
          </w:p>
        </w:tc>
        <w:tc>
          <w:tcPr>
            <w:tcW w:w="920" w:type="dxa"/>
            <w:tcBorders>
              <w:top w:val="nil"/>
              <w:left w:val="single" w:sz="4" w:space="0" w:color="auto"/>
              <w:bottom w:val="nil"/>
              <w:right w:val="single" w:sz="4" w:space="0" w:color="auto"/>
            </w:tcBorders>
            <w:shd w:val="clear" w:color="000000" w:fill="EDE683"/>
            <w:noWrap/>
            <w:vAlign w:val="bottom"/>
            <w:hideMark/>
          </w:tcPr>
          <w:p w14:paraId="66F565B3" w14:textId="77777777" w:rsidR="005222B6" w:rsidRPr="00727E15" w:rsidRDefault="005222B6" w:rsidP="00BC1B83">
            <w:pPr>
              <w:jc w:val="center"/>
              <w:rPr>
                <w:sz w:val="20"/>
                <w:szCs w:val="20"/>
              </w:rPr>
            </w:pPr>
            <w:r w:rsidRPr="00727E15">
              <w:rPr>
                <w:sz w:val="20"/>
                <w:szCs w:val="20"/>
              </w:rPr>
              <w:t>-0,5</w:t>
            </w:r>
          </w:p>
        </w:tc>
        <w:tc>
          <w:tcPr>
            <w:tcW w:w="920" w:type="dxa"/>
            <w:tcBorders>
              <w:top w:val="nil"/>
              <w:left w:val="single" w:sz="4" w:space="0" w:color="auto"/>
              <w:bottom w:val="nil"/>
              <w:right w:val="single" w:sz="4" w:space="0" w:color="auto"/>
            </w:tcBorders>
            <w:shd w:val="clear" w:color="000000" w:fill="FAEA84"/>
            <w:noWrap/>
            <w:vAlign w:val="bottom"/>
            <w:hideMark/>
          </w:tcPr>
          <w:p w14:paraId="6F4B6FFF" w14:textId="77777777" w:rsidR="005222B6" w:rsidRPr="00727E15" w:rsidRDefault="005222B6" w:rsidP="00BC1B83">
            <w:pPr>
              <w:jc w:val="center"/>
              <w:rPr>
                <w:sz w:val="20"/>
                <w:szCs w:val="20"/>
              </w:rPr>
            </w:pPr>
            <w:r w:rsidRPr="00727E15">
              <w:rPr>
                <w:sz w:val="20"/>
                <w:szCs w:val="20"/>
              </w:rPr>
              <w:t>-6,2</w:t>
            </w:r>
          </w:p>
        </w:tc>
        <w:tc>
          <w:tcPr>
            <w:tcW w:w="920" w:type="dxa"/>
            <w:tcBorders>
              <w:top w:val="nil"/>
              <w:left w:val="single" w:sz="4" w:space="0" w:color="auto"/>
              <w:bottom w:val="nil"/>
              <w:right w:val="single" w:sz="4" w:space="0" w:color="auto"/>
            </w:tcBorders>
            <w:shd w:val="clear" w:color="000000" w:fill="FED980"/>
            <w:noWrap/>
            <w:vAlign w:val="bottom"/>
            <w:hideMark/>
          </w:tcPr>
          <w:p w14:paraId="3C148006" w14:textId="77777777" w:rsidR="005222B6" w:rsidRPr="00727E15" w:rsidRDefault="005222B6" w:rsidP="00BC1B83">
            <w:pPr>
              <w:jc w:val="center"/>
              <w:rPr>
                <w:sz w:val="20"/>
                <w:szCs w:val="20"/>
              </w:rPr>
            </w:pPr>
            <w:r w:rsidRPr="00727E15">
              <w:rPr>
                <w:sz w:val="20"/>
                <w:szCs w:val="20"/>
              </w:rPr>
              <w:t>-19,2</w:t>
            </w:r>
          </w:p>
        </w:tc>
        <w:tc>
          <w:tcPr>
            <w:tcW w:w="920" w:type="dxa"/>
            <w:tcBorders>
              <w:top w:val="nil"/>
              <w:left w:val="single" w:sz="4" w:space="0" w:color="auto"/>
              <w:bottom w:val="nil"/>
              <w:right w:val="single" w:sz="4" w:space="0" w:color="auto"/>
            </w:tcBorders>
            <w:shd w:val="clear" w:color="000000" w:fill="FEDF81"/>
            <w:noWrap/>
            <w:vAlign w:val="bottom"/>
            <w:hideMark/>
          </w:tcPr>
          <w:p w14:paraId="79803FB7" w14:textId="77777777" w:rsidR="005222B6" w:rsidRPr="00727E15" w:rsidRDefault="005222B6" w:rsidP="00BC1B83">
            <w:pPr>
              <w:jc w:val="center"/>
              <w:rPr>
                <w:sz w:val="20"/>
                <w:szCs w:val="20"/>
              </w:rPr>
            </w:pPr>
            <w:r w:rsidRPr="00727E15">
              <w:rPr>
                <w:sz w:val="20"/>
                <w:szCs w:val="20"/>
              </w:rPr>
              <w:t>-15,7</w:t>
            </w:r>
          </w:p>
        </w:tc>
        <w:tc>
          <w:tcPr>
            <w:tcW w:w="920" w:type="dxa"/>
            <w:tcBorders>
              <w:top w:val="nil"/>
              <w:left w:val="single" w:sz="4" w:space="0" w:color="auto"/>
              <w:bottom w:val="nil"/>
              <w:right w:val="single" w:sz="4" w:space="0" w:color="auto"/>
            </w:tcBorders>
            <w:shd w:val="clear" w:color="000000" w:fill="FEE883"/>
            <w:noWrap/>
            <w:vAlign w:val="bottom"/>
            <w:hideMark/>
          </w:tcPr>
          <w:p w14:paraId="48195201" w14:textId="77777777" w:rsidR="005222B6" w:rsidRPr="00727E15" w:rsidRDefault="005222B6" w:rsidP="00BC1B83">
            <w:pPr>
              <w:jc w:val="center"/>
              <w:rPr>
                <w:sz w:val="20"/>
                <w:szCs w:val="20"/>
              </w:rPr>
            </w:pPr>
            <w:r w:rsidRPr="00727E15">
              <w:rPr>
                <w:sz w:val="20"/>
                <w:szCs w:val="20"/>
              </w:rPr>
              <w:t>-10,3</w:t>
            </w:r>
          </w:p>
        </w:tc>
      </w:tr>
      <w:tr w:rsidR="005222B6" w:rsidRPr="00727E15" w14:paraId="18E6B376"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5AA5E2A0" w14:textId="77777777" w:rsidR="005222B6" w:rsidRPr="00727E15" w:rsidRDefault="005222B6" w:rsidP="00BC1B83">
            <w:pPr>
              <w:rPr>
                <w:sz w:val="20"/>
                <w:szCs w:val="20"/>
              </w:rPr>
            </w:pPr>
            <w:r w:rsidRPr="00727E15">
              <w:rPr>
                <w:sz w:val="20"/>
                <w:szCs w:val="20"/>
              </w:rPr>
              <w:t xml:space="preserve">L - Administración pública y defensa; planes de </w:t>
            </w:r>
            <w:proofErr w:type="spellStart"/>
            <w:r w:rsidRPr="00727E15">
              <w:rPr>
                <w:sz w:val="20"/>
                <w:szCs w:val="20"/>
              </w:rPr>
              <w:t>seg</w:t>
            </w:r>
            <w:proofErr w:type="spellEnd"/>
            <w:r w:rsidRPr="00727E15">
              <w:rPr>
                <w:sz w:val="20"/>
                <w:szCs w:val="20"/>
              </w:rPr>
              <w:t xml:space="preserve">. social </w:t>
            </w:r>
            <w:proofErr w:type="spellStart"/>
            <w:r w:rsidRPr="00727E15">
              <w:rPr>
                <w:sz w:val="20"/>
                <w:szCs w:val="20"/>
              </w:rPr>
              <w:t>oblig</w:t>
            </w:r>
            <w:proofErr w:type="spellEnd"/>
            <w:r w:rsidRPr="00727E15">
              <w:rPr>
                <w:sz w:val="20"/>
                <w:szCs w:val="20"/>
              </w:rPr>
              <w:t>.</w:t>
            </w:r>
          </w:p>
        </w:tc>
        <w:tc>
          <w:tcPr>
            <w:tcW w:w="920" w:type="dxa"/>
            <w:tcBorders>
              <w:top w:val="nil"/>
              <w:left w:val="single" w:sz="4" w:space="0" w:color="auto"/>
              <w:bottom w:val="nil"/>
              <w:right w:val="single" w:sz="4" w:space="0" w:color="auto"/>
            </w:tcBorders>
            <w:shd w:val="clear" w:color="000000" w:fill="EBE683"/>
            <w:noWrap/>
            <w:vAlign w:val="bottom"/>
            <w:hideMark/>
          </w:tcPr>
          <w:p w14:paraId="28F40C16" w14:textId="77777777" w:rsidR="005222B6" w:rsidRPr="00727E15" w:rsidRDefault="005222B6" w:rsidP="00BC1B83">
            <w:pPr>
              <w:jc w:val="center"/>
              <w:rPr>
                <w:sz w:val="20"/>
                <w:szCs w:val="20"/>
              </w:rPr>
            </w:pPr>
            <w:r w:rsidRPr="00727E15">
              <w:rPr>
                <w:sz w:val="20"/>
                <w:szCs w:val="20"/>
              </w:rPr>
              <w:t>0,5</w:t>
            </w:r>
          </w:p>
        </w:tc>
        <w:tc>
          <w:tcPr>
            <w:tcW w:w="920" w:type="dxa"/>
            <w:tcBorders>
              <w:top w:val="nil"/>
              <w:left w:val="single" w:sz="4" w:space="0" w:color="auto"/>
              <w:bottom w:val="nil"/>
              <w:right w:val="single" w:sz="4" w:space="0" w:color="auto"/>
            </w:tcBorders>
            <w:shd w:val="clear" w:color="000000" w:fill="EBE683"/>
            <w:noWrap/>
            <w:vAlign w:val="bottom"/>
            <w:hideMark/>
          </w:tcPr>
          <w:p w14:paraId="35807A6A" w14:textId="77777777" w:rsidR="005222B6" w:rsidRPr="00727E15" w:rsidRDefault="005222B6" w:rsidP="00BC1B83">
            <w:pPr>
              <w:jc w:val="center"/>
              <w:rPr>
                <w:sz w:val="20"/>
                <w:szCs w:val="20"/>
              </w:rPr>
            </w:pPr>
            <w:r w:rsidRPr="00727E15">
              <w:rPr>
                <w:sz w:val="20"/>
                <w:szCs w:val="20"/>
              </w:rPr>
              <w:t>0,5</w:t>
            </w:r>
          </w:p>
        </w:tc>
        <w:tc>
          <w:tcPr>
            <w:tcW w:w="920" w:type="dxa"/>
            <w:tcBorders>
              <w:top w:val="nil"/>
              <w:left w:val="single" w:sz="4" w:space="0" w:color="auto"/>
              <w:bottom w:val="nil"/>
              <w:right w:val="single" w:sz="4" w:space="0" w:color="auto"/>
            </w:tcBorders>
            <w:shd w:val="clear" w:color="000000" w:fill="EDE683"/>
            <w:noWrap/>
            <w:vAlign w:val="bottom"/>
            <w:hideMark/>
          </w:tcPr>
          <w:p w14:paraId="1CE506DB" w14:textId="77777777" w:rsidR="005222B6" w:rsidRPr="00727E15" w:rsidRDefault="005222B6" w:rsidP="00BC1B83">
            <w:pPr>
              <w:jc w:val="center"/>
              <w:rPr>
                <w:sz w:val="20"/>
                <w:szCs w:val="20"/>
              </w:rPr>
            </w:pPr>
            <w:r w:rsidRPr="00727E15">
              <w:rPr>
                <w:sz w:val="20"/>
                <w:szCs w:val="20"/>
              </w:rPr>
              <w:t>-0,3</w:t>
            </w:r>
          </w:p>
        </w:tc>
        <w:tc>
          <w:tcPr>
            <w:tcW w:w="920" w:type="dxa"/>
            <w:tcBorders>
              <w:top w:val="nil"/>
              <w:left w:val="single" w:sz="4" w:space="0" w:color="auto"/>
              <w:bottom w:val="nil"/>
              <w:right w:val="single" w:sz="4" w:space="0" w:color="auto"/>
            </w:tcBorders>
            <w:shd w:val="clear" w:color="000000" w:fill="FEE382"/>
            <w:noWrap/>
            <w:vAlign w:val="bottom"/>
            <w:hideMark/>
          </w:tcPr>
          <w:p w14:paraId="1944CAF0" w14:textId="77777777" w:rsidR="005222B6" w:rsidRPr="00727E15" w:rsidRDefault="005222B6" w:rsidP="00BC1B83">
            <w:pPr>
              <w:jc w:val="center"/>
              <w:rPr>
                <w:sz w:val="20"/>
                <w:szCs w:val="20"/>
              </w:rPr>
            </w:pPr>
            <w:r w:rsidRPr="00727E15">
              <w:rPr>
                <w:sz w:val="20"/>
                <w:szCs w:val="20"/>
              </w:rPr>
              <w:t>-13,2</w:t>
            </w:r>
          </w:p>
        </w:tc>
        <w:tc>
          <w:tcPr>
            <w:tcW w:w="920" w:type="dxa"/>
            <w:tcBorders>
              <w:top w:val="nil"/>
              <w:left w:val="single" w:sz="4" w:space="0" w:color="auto"/>
              <w:bottom w:val="nil"/>
              <w:right w:val="single" w:sz="4" w:space="0" w:color="auto"/>
            </w:tcBorders>
            <w:shd w:val="clear" w:color="000000" w:fill="FEE482"/>
            <w:noWrap/>
            <w:vAlign w:val="bottom"/>
            <w:hideMark/>
          </w:tcPr>
          <w:p w14:paraId="7F2A28AF" w14:textId="77777777" w:rsidR="005222B6" w:rsidRPr="00727E15" w:rsidRDefault="005222B6" w:rsidP="00BC1B83">
            <w:pPr>
              <w:jc w:val="center"/>
              <w:rPr>
                <w:sz w:val="20"/>
                <w:szCs w:val="20"/>
              </w:rPr>
            </w:pPr>
            <w:r w:rsidRPr="00727E15">
              <w:rPr>
                <w:sz w:val="20"/>
                <w:szCs w:val="20"/>
              </w:rPr>
              <w:t>-12,6</w:t>
            </w:r>
          </w:p>
        </w:tc>
        <w:tc>
          <w:tcPr>
            <w:tcW w:w="920" w:type="dxa"/>
            <w:tcBorders>
              <w:top w:val="nil"/>
              <w:left w:val="single" w:sz="4" w:space="0" w:color="auto"/>
              <w:bottom w:val="nil"/>
              <w:right w:val="single" w:sz="4" w:space="0" w:color="auto"/>
            </w:tcBorders>
            <w:shd w:val="clear" w:color="000000" w:fill="FEE582"/>
            <w:noWrap/>
            <w:vAlign w:val="bottom"/>
            <w:hideMark/>
          </w:tcPr>
          <w:p w14:paraId="0F67B711" w14:textId="77777777" w:rsidR="005222B6" w:rsidRPr="00727E15" w:rsidRDefault="005222B6" w:rsidP="00BC1B83">
            <w:pPr>
              <w:jc w:val="center"/>
              <w:rPr>
                <w:sz w:val="20"/>
                <w:szCs w:val="20"/>
              </w:rPr>
            </w:pPr>
            <w:r w:rsidRPr="00727E15">
              <w:rPr>
                <w:sz w:val="20"/>
                <w:szCs w:val="20"/>
              </w:rPr>
              <w:t>-12,3</w:t>
            </w:r>
          </w:p>
        </w:tc>
      </w:tr>
      <w:tr w:rsidR="005222B6" w:rsidRPr="00727E15" w14:paraId="3EDEC2CE"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657F76C1" w14:textId="77777777" w:rsidR="005222B6" w:rsidRPr="00727E15" w:rsidRDefault="005222B6" w:rsidP="00BC1B83">
            <w:pPr>
              <w:rPr>
                <w:sz w:val="20"/>
                <w:szCs w:val="20"/>
              </w:rPr>
            </w:pPr>
            <w:r w:rsidRPr="00727E15">
              <w:rPr>
                <w:sz w:val="20"/>
                <w:szCs w:val="20"/>
              </w:rPr>
              <w:t>M - Enseñanza</w:t>
            </w:r>
          </w:p>
        </w:tc>
        <w:tc>
          <w:tcPr>
            <w:tcW w:w="920" w:type="dxa"/>
            <w:tcBorders>
              <w:top w:val="nil"/>
              <w:left w:val="single" w:sz="4" w:space="0" w:color="auto"/>
              <w:bottom w:val="nil"/>
              <w:right w:val="single" w:sz="4" w:space="0" w:color="auto"/>
            </w:tcBorders>
            <w:shd w:val="clear" w:color="000000" w:fill="E8E583"/>
            <w:noWrap/>
            <w:vAlign w:val="bottom"/>
            <w:hideMark/>
          </w:tcPr>
          <w:p w14:paraId="65FBAF7D" w14:textId="77777777" w:rsidR="005222B6" w:rsidRPr="00727E15" w:rsidRDefault="005222B6" w:rsidP="00BC1B83">
            <w:pPr>
              <w:jc w:val="center"/>
              <w:rPr>
                <w:sz w:val="20"/>
                <w:szCs w:val="20"/>
              </w:rPr>
            </w:pPr>
            <w:r w:rsidRPr="00727E15">
              <w:rPr>
                <w:sz w:val="20"/>
                <w:szCs w:val="20"/>
              </w:rPr>
              <w:t>1,7</w:t>
            </w:r>
          </w:p>
        </w:tc>
        <w:tc>
          <w:tcPr>
            <w:tcW w:w="920" w:type="dxa"/>
            <w:tcBorders>
              <w:top w:val="nil"/>
              <w:left w:val="single" w:sz="4" w:space="0" w:color="auto"/>
              <w:bottom w:val="nil"/>
              <w:right w:val="single" w:sz="4" w:space="0" w:color="auto"/>
            </w:tcBorders>
            <w:shd w:val="clear" w:color="000000" w:fill="E8E583"/>
            <w:noWrap/>
            <w:vAlign w:val="bottom"/>
            <w:hideMark/>
          </w:tcPr>
          <w:p w14:paraId="03884566" w14:textId="77777777" w:rsidR="005222B6" w:rsidRPr="00727E15" w:rsidRDefault="005222B6" w:rsidP="00BC1B83">
            <w:pPr>
              <w:jc w:val="center"/>
              <w:rPr>
                <w:sz w:val="20"/>
                <w:szCs w:val="20"/>
              </w:rPr>
            </w:pPr>
            <w:r w:rsidRPr="00727E15">
              <w:rPr>
                <w:sz w:val="20"/>
                <w:szCs w:val="20"/>
              </w:rPr>
              <w:t>1,9</w:t>
            </w:r>
          </w:p>
        </w:tc>
        <w:tc>
          <w:tcPr>
            <w:tcW w:w="920" w:type="dxa"/>
            <w:tcBorders>
              <w:top w:val="nil"/>
              <w:left w:val="single" w:sz="4" w:space="0" w:color="auto"/>
              <w:bottom w:val="nil"/>
              <w:right w:val="single" w:sz="4" w:space="0" w:color="auto"/>
            </w:tcBorders>
            <w:shd w:val="clear" w:color="000000" w:fill="ECE683"/>
            <w:noWrap/>
            <w:vAlign w:val="bottom"/>
            <w:hideMark/>
          </w:tcPr>
          <w:p w14:paraId="1DDB1E9E" w14:textId="77777777" w:rsidR="005222B6" w:rsidRPr="00727E15" w:rsidRDefault="005222B6" w:rsidP="00BC1B83">
            <w:pPr>
              <w:jc w:val="center"/>
              <w:rPr>
                <w:sz w:val="20"/>
                <w:szCs w:val="20"/>
              </w:rPr>
            </w:pPr>
            <w:r w:rsidRPr="00727E15">
              <w:rPr>
                <w:sz w:val="20"/>
                <w:szCs w:val="20"/>
              </w:rPr>
              <w:t>0,0</w:t>
            </w:r>
          </w:p>
        </w:tc>
        <w:tc>
          <w:tcPr>
            <w:tcW w:w="920" w:type="dxa"/>
            <w:tcBorders>
              <w:top w:val="nil"/>
              <w:left w:val="single" w:sz="4" w:space="0" w:color="auto"/>
              <w:bottom w:val="nil"/>
              <w:right w:val="single" w:sz="4" w:space="0" w:color="auto"/>
            </w:tcBorders>
            <w:shd w:val="clear" w:color="000000" w:fill="FEE783"/>
            <w:noWrap/>
            <w:vAlign w:val="bottom"/>
            <w:hideMark/>
          </w:tcPr>
          <w:p w14:paraId="7A324E97" w14:textId="77777777" w:rsidR="005222B6" w:rsidRPr="00727E15" w:rsidRDefault="005222B6" w:rsidP="00BC1B83">
            <w:pPr>
              <w:jc w:val="center"/>
              <w:rPr>
                <w:sz w:val="20"/>
                <w:szCs w:val="20"/>
              </w:rPr>
            </w:pPr>
            <w:r w:rsidRPr="00727E15">
              <w:rPr>
                <w:sz w:val="20"/>
                <w:szCs w:val="20"/>
              </w:rPr>
              <w:t>-10,8</w:t>
            </w:r>
          </w:p>
        </w:tc>
        <w:tc>
          <w:tcPr>
            <w:tcW w:w="920" w:type="dxa"/>
            <w:tcBorders>
              <w:top w:val="nil"/>
              <w:left w:val="single" w:sz="4" w:space="0" w:color="auto"/>
              <w:bottom w:val="nil"/>
              <w:right w:val="single" w:sz="4" w:space="0" w:color="auto"/>
            </w:tcBorders>
            <w:shd w:val="clear" w:color="000000" w:fill="FEEA83"/>
            <w:noWrap/>
            <w:vAlign w:val="bottom"/>
            <w:hideMark/>
          </w:tcPr>
          <w:p w14:paraId="76FDE3B9" w14:textId="77777777" w:rsidR="005222B6" w:rsidRPr="00727E15" w:rsidRDefault="005222B6" w:rsidP="00BC1B83">
            <w:pPr>
              <w:jc w:val="center"/>
              <w:rPr>
                <w:sz w:val="20"/>
                <w:szCs w:val="20"/>
              </w:rPr>
            </w:pPr>
            <w:r w:rsidRPr="00727E15">
              <w:rPr>
                <w:sz w:val="20"/>
                <w:szCs w:val="20"/>
              </w:rPr>
              <w:t>-8,9</w:t>
            </w:r>
          </w:p>
        </w:tc>
        <w:tc>
          <w:tcPr>
            <w:tcW w:w="920" w:type="dxa"/>
            <w:tcBorders>
              <w:top w:val="nil"/>
              <w:left w:val="single" w:sz="4" w:space="0" w:color="auto"/>
              <w:bottom w:val="nil"/>
              <w:right w:val="single" w:sz="4" w:space="0" w:color="auto"/>
            </w:tcBorders>
            <w:shd w:val="clear" w:color="000000" w:fill="FEEA83"/>
            <w:noWrap/>
            <w:vAlign w:val="bottom"/>
            <w:hideMark/>
          </w:tcPr>
          <w:p w14:paraId="05162D91" w14:textId="77777777" w:rsidR="005222B6" w:rsidRPr="00727E15" w:rsidRDefault="005222B6" w:rsidP="00BC1B83">
            <w:pPr>
              <w:jc w:val="center"/>
              <w:rPr>
                <w:sz w:val="20"/>
                <w:szCs w:val="20"/>
              </w:rPr>
            </w:pPr>
            <w:r w:rsidRPr="00727E15">
              <w:rPr>
                <w:sz w:val="20"/>
                <w:szCs w:val="20"/>
              </w:rPr>
              <w:t>-8,9</w:t>
            </w:r>
          </w:p>
        </w:tc>
      </w:tr>
      <w:tr w:rsidR="005222B6" w:rsidRPr="00727E15" w14:paraId="018368F7" w14:textId="77777777" w:rsidTr="00BC1B83">
        <w:trPr>
          <w:trHeight w:val="300"/>
          <w:jc w:val="center"/>
        </w:trPr>
        <w:tc>
          <w:tcPr>
            <w:tcW w:w="5320" w:type="dxa"/>
            <w:tcBorders>
              <w:top w:val="nil"/>
              <w:left w:val="single" w:sz="4" w:space="0" w:color="auto"/>
              <w:bottom w:val="nil"/>
              <w:right w:val="single" w:sz="4" w:space="0" w:color="auto"/>
            </w:tcBorders>
            <w:shd w:val="clear" w:color="000000" w:fill="FFFFFF"/>
            <w:vAlign w:val="bottom"/>
            <w:hideMark/>
          </w:tcPr>
          <w:p w14:paraId="02E43C58" w14:textId="77777777" w:rsidR="005222B6" w:rsidRPr="00727E15" w:rsidRDefault="005222B6" w:rsidP="00BC1B83">
            <w:pPr>
              <w:rPr>
                <w:sz w:val="20"/>
                <w:szCs w:val="20"/>
              </w:rPr>
            </w:pPr>
            <w:r w:rsidRPr="00727E15">
              <w:rPr>
                <w:sz w:val="20"/>
                <w:szCs w:val="20"/>
              </w:rPr>
              <w:t>N - Servicios sociales y de salud</w:t>
            </w:r>
          </w:p>
        </w:tc>
        <w:tc>
          <w:tcPr>
            <w:tcW w:w="920" w:type="dxa"/>
            <w:tcBorders>
              <w:top w:val="nil"/>
              <w:left w:val="single" w:sz="4" w:space="0" w:color="auto"/>
              <w:bottom w:val="nil"/>
              <w:right w:val="single" w:sz="4" w:space="0" w:color="auto"/>
            </w:tcBorders>
            <w:shd w:val="clear" w:color="000000" w:fill="EEE784"/>
            <w:noWrap/>
            <w:vAlign w:val="bottom"/>
            <w:hideMark/>
          </w:tcPr>
          <w:p w14:paraId="08EBB7D7" w14:textId="77777777" w:rsidR="005222B6" w:rsidRPr="00727E15" w:rsidRDefault="005222B6" w:rsidP="00BC1B83">
            <w:pPr>
              <w:jc w:val="center"/>
              <w:rPr>
                <w:sz w:val="20"/>
                <w:szCs w:val="20"/>
              </w:rPr>
            </w:pPr>
            <w:r w:rsidRPr="00727E15">
              <w:rPr>
                <w:sz w:val="20"/>
                <w:szCs w:val="20"/>
              </w:rPr>
              <w:t>-1,1</w:t>
            </w:r>
          </w:p>
        </w:tc>
        <w:tc>
          <w:tcPr>
            <w:tcW w:w="920" w:type="dxa"/>
            <w:tcBorders>
              <w:top w:val="nil"/>
              <w:left w:val="single" w:sz="4" w:space="0" w:color="auto"/>
              <w:bottom w:val="nil"/>
              <w:right w:val="single" w:sz="4" w:space="0" w:color="auto"/>
            </w:tcBorders>
            <w:shd w:val="clear" w:color="000000" w:fill="EEE784"/>
            <w:noWrap/>
            <w:vAlign w:val="bottom"/>
            <w:hideMark/>
          </w:tcPr>
          <w:p w14:paraId="55F86B9A" w14:textId="77777777" w:rsidR="005222B6" w:rsidRPr="00727E15" w:rsidRDefault="005222B6" w:rsidP="00BC1B83">
            <w:pPr>
              <w:jc w:val="center"/>
              <w:rPr>
                <w:sz w:val="20"/>
                <w:szCs w:val="20"/>
              </w:rPr>
            </w:pPr>
            <w:r w:rsidRPr="00727E15">
              <w:rPr>
                <w:sz w:val="20"/>
                <w:szCs w:val="20"/>
              </w:rPr>
              <w:t>-1,0</w:t>
            </w:r>
          </w:p>
        </w:tc>
        <w:tc>
          <w:tcPr>
            <w:tcW w:w="920" w:type="dxa"/>
            <w:tcBorders>
              <w:top w:val="nil"/>
              <w:left w:val="single" w:sz="4" w:space="0" w:color="auto"/>
              <w:bottom w:val="nil"/>
              <w:right w:val="single" w:sz="4" w:space="0" w:color="auto"/>
            </w:tcBorders>
            <w:shd w:val="clear" w:color="000000" w:fill="FFEB84"/>
            <w:noWrap/>
            <w:vAlign w:val="bottom"/>
            <w:hideMark/>
          </w:tcPr>
          <w:p w14:paraId="3644E221" w14:textId="77777777" w:rsidR="005222B6" w:rsidRPr="00727E15" w:rsidRDefault="005222B6" w:rsidP="00BC1B83">
            <w:pPr>
              <w:jc w:val="center"/>
              <w:rPr>
                <w:sz w:val="20"/>
                <w:szCs w:val="20"/>
              </w:rPr>
            </w:pPr>
            <w:r w:rsidRPr="00727E15">
              <w:rPr>
                <w:sz w:val="20"/>
                <w:szCs w:val="20"/>
              </w:rPr>
              <w:t>-8,6</w:t>
            </w:r>
          </w:p>
        </w:tc>
        <w:tc>
          <w:tcPr>
            <w:tcW w:w="920" w:type="dxa"/>
            <w:tcBorders>
              <w:top w:val="nil"/>
              <w:left w:val="single" w:sz="4" w:space="0" w:color="auto"/>
              <w:bottom w:val="nil"/>
              <w:right w:val="single" w:sz="4" w:space="0" w:color="auto"/>
            </w:tcBorders>
            <w:shd w:val="clear" w:color="000000" w:fill="FCC27C"/>
            <w:noWrap/>
            <w:vAlign w:val="bottom"/>
            <w:hideMark/>
          </w:tcPr>
          <w:p w14:paraId="0BA3EBD3" w14:textId="77777777" w:rsidR="005222B6" w:rsidRPr="00727E15" w:rsidRDefault="005222B6" w:rsidP="00BC1B83">
            <w:pPr>
              <w:jc w:val="center"/>
              <w:rPr>
                <w:sz w:val="20"/>
                <w:szCs w:val="20"/>
              </w:rPr>
            </w:pPr>
            <w:r w:rsidRPr="00727E15">
              <w:rPr>
                <w:sz w:val="20"/>
                <w:szCs w:val="20"/>
              </w:rPr>
              <w:t>-33,1</w:t>
            </w:r>
          </w:p>
        </w:tc>
        <w:tc>
          <w:tcPr>
            <w:tcW w:w="920" w:type="dxa"/>
            <w:tcBorders>
              <w:top w:val="nil"/>
              <w:left w:val="single" w:sz="4" w:space="0" w:color="auto"/>
              <w:bottom w:val="nil"/>
              <w:right w:val="single" w:sz="4" w:space="0" w:color="auto"/>
            </w:tcBorders>
            <w:shd w:val="clear" w:color="000000" w:fill="FED980"/>
            <w:noWrap/>
            <w:vAlign w:val="bottom"/>
            <w:hideMark/>
          </w:tcPr>
          <w:p w14:paraId="2A9ABD58" w14:textId="77777777" w:rsidR="005222B6" w:rsidRPr="00727E15" w:rsidRDefault="005222B6" w:rsidP="00BC1B83">
            <w:pPr>
              <w:jc w:val="center"/>
              <w:rPr>
                <w:sz w:val="20"/>
                <w:szCs w:val="20"/>
              </w:rPr>
            </w:pPr>
            <w:r w:rsidRPr="00727E15">
              <w:rPr>
                <w:sz w:val="20"/>
                <w:szCs w:val="20"/>
              </w:rPr>
              <w:t>-19,5</w:t>
            </w:r>
          </w:p>
        </w:tc>
        <w:tc>
          <w:tcPr>
            <w:tcW w:w="920" w:type="dxa"/>
            <w:tcBorders>
              <w:top w:val="nil"/>
              <w:left w:val="single" w:sz="4" w:space="0" w:color="auto"/>
              <w:bottom w:val="nil"/>
              <w:right w:val="single" w:sz="4" w:space="0" w:color="auto"/>
            </w:tcBorders>
            <w:shd w:val="clear" w:color="000000" w:fill="FEDC81"/>
            <w:noWrap/>
            <w:vAlign w:val="bottom"/>
            <w:hideMark/>
          </w:tcPr>
          <w:p w14:paraId="0D5E9B95" w14:textId="77777777" w:rsidR="005222B6" w:rsidRPr="00727E15" w:rsidRDefault="005222B6" w:rsidP="00BC1B83">
            <w:pPr>
              <w:jc w:val="center"/>
              <w:rPr>
                <w:sz w:val="20"/>
                <w:szCs w:val="20"/>
              </w:rPr>
            </w:pPr>
            <w:r w:rsidRPr="00727E15">
              <w:rPr>
                <w:sz w:val="20"/>
                <w:szCs w:val="20"/>
              </w:rPr>
              <w:t>-17,3</w:t>
            </w:r>
          </w:p>
        </w:tc>
      </w:tr>
      <w:tr w:rsidR="005222B6" w:rsidRPr="00727E15" w14:paraId="0C2CE66A" w14:textId="77777777" w:rsidTr="00BC1B83">
        <w:trPr>
          <w:trHeight w:val="300"/>
          <w:jc w:val="center"/>
        </w:trPr>
        <w:tc>
          <w:tcPr>
            <w:tcW w:w="5320" w:type="dxa"/>
            <w:tcBorders>
              <w:top w:val="nil"/>
              <w:left w:val="single" w:sz="4" w:space="0" w:color="auto"/>
              <w:bottom w:val="single" w:sz="4" w:space="0" w:color="auto"/>
              <w:right w:val="single" w:sz="4" w:space="0" w:color="auto"/>
            </w:tcBorders>
            <w:shd w:val="clear" w:color="000000" w:fill="FFFFFF"/>
            <w:vAlign w:val="bottom"/>
            <w:hideMark/>
          </w:tcPr>
          <w:p w14:paraId="295E8A4C" w14:textId="77777777" w:rsidR="005222B6" w:rsidRPr="00727E15" w:rsidRDefault="005222B6" w:rsidP="00BC1B83">
            <w:pPr>
              <w:rPr>
                <w:sz w:val="20"/>
                <w:szCs w:val="20"/>
              </w:rPr>
            </w:pPr>
            <w:r w:rsidRPr="00727E15">
              <w:rPr>
                <w:sz w:val="20"/>
                <w:szCs w:val="20"/>
              </w:rPr>
              <w:t xml:space="preserve">O - Otras </w:t>
            </w:r>
            <w:proofErr w:type="spellStart"/>
            <w:r w:rsidRPr="00727E15">
              <w:rPr>
                <w:sz w:val="20"/>
                <w:szCs w:val="20"/>
              </w:rPr>
              <w:t>activ</w:t>
            </w:r>
            <w:proofErr w:type="spellEnd"/>
            <w:r>
              <w:rPr>
                <w:sz w:val="20"/>
                <w:szCs w:val="20"/>
              </w:rPr>
              <w:t>.</w:t>
            </w:r>
            <w:r w:rsidRPr="00727E15">
              <w:rPr>
                <w:sz w:val="20"/>
                <w:szCs w:val="20"/>
              </w:rPr>
              <w:t xml:space="preserve"> de </w:t>
            </w:r>
            <w:proofErr w:type="spellStart"/>
            <w:r w:rsidRPr="00727E15">
              <w:rPr>
                <w:sz w:val="20"/>
                <w:szCs w:val="20"/>
              </w:rPr>
              <w:t>serv</w:t>
            </w:r>
            <w:proofErr w:type="spellEnd"/>
            <w:r>
              <w:rPr>
                <w:sz w:val="20"/>
                <w:szCs w:val="20"/>
              </w:rPr>
              <w:t>.</w:t>
            </w:r>
            <w:r w:rsidRPr="00727E15">
              <w:rPr>
                <w:sz w:val="20"/>
                <w:szCs w:val="20"/>
              </w:rPr>
              <w:t xml:space="preserve"> comunitarios, sociales y personales</w:t>
            </w:r>
          </w:p>
        </w:tc>
        <w:tc>
          <w:tcPr>
            <w:tcW w:w="920" w:type="dxa"/>
            <w:tcBorders>
              <w:top w:val="nil"/>
              <w:left w:val="single" w:sz="4" w:space="0" w:color="auto"/>
              <w:bottom w:val="single" w:sz="4" w:space="0" w:color="auto"/>
              <w:right w:val="single" w:sz="4" w:space="0" w:color="auto"/>
            </w:tcBorders>
            <w:shd w:val="clear" w:color="000000" w:fill="F0E784"/>
            <w:noWrap/>
            <w:vAlign w:val="bottom"/>
            <w:hideMark/>
          </w:tcPr>
          <w:p w14:paraId="2AEC52CA" w14:textId="77777777" w:rsidR="005222B6" w:rsidRPr="00727E15" w:rsidRDefault="005222B6" w:rsidP="00BC1B83">
            <w:pPr>
              <w:jc w:val="center"/>
              <w:rPr>
                <w:sz w:val="20"/>
                <w:szCs w:val="20"/>
              </w:rPr>
            </w:pPr>
            <w:r w:rsidRPr="00727E15">
              <w:rPr>
                <w:sz w:val="20"/>
                <w:szCs w:val="20"/>
              </w:rPr>
              <w:t>-1,8</w:t>
            </w:r>
          </w:p>
        </w:tc>
        <w:tc>
          <w:tcPr>
            <w:tcW w:w="920" w:type="dxa"/>
            <w:tcBorders>
              <w:top w:val="nil"/>
              <w:left w:val="single" w:sz="4" w:space="0" w:color="auto"/>
              <w:bottom w:val="single" w:sz="4" w:space="0" w:color="auto"/>
              <w:right w:val="single" w:sz="4" w:space="0" w:color="auto"/>
            </w:tcBorders>
            <w:shd w:val="clear" w:color="000000" w:fill="F2E884"/>
            <w:noWrap/>
            <w:vAlign w:val="bottom"/>
            <w:hideMark/>
          </w:tcPr>
          <w:p w14:paraId="4730D1CE" w14:textId="77777777" w:rsidR="005222B6" w:rsidRPr="00727E15" w:rsidRDefault="005222B6" w:rsidP="00BC1B83">
            <w:pPr>
              <w:jc w:val="center"/>
              <w:rPr>
                <w:sz w:val="20"/>
                <w:szCs w:val="20"/>
              </w:rPr>
            </w:pPr>
            <w:r w:rsidRPr="00727E15">
              <w:rPr>
                <w:sz w:val="20"/>
                <w:szCs w:val="20"/>
              </w:rPr>
              <w:t>-2,7</w:t>
            </w:r>
          </w:p>
        </w:tc>
        <w:tc>
          <w:tcPr>
            <w:tcW w:w="920" w:type="dxa"/>
            <w:tcBorders>
              <w:top w:val="nil"/>
              <w:left w:val="single" w:sz="4" w:space="0" w:color="auto"/>
              <w:bottom w:val="single" w:sz="4" w:space="0" w:color="auto"/>
              <w:right w:val="single" w:sz="4" w:space="0" w:color="auto"/>
            </w:tcBorders>
            <w:shd w:val="clear" w:color="000000" w:fill="FEDB81"/>
            <w:noWrap/>
            <w:vAlign w:val="bottom"/>
            <w:hideMark/>
          </w:tcPr>
          <w:p w14:paraId="36EDB9CB" w14:textId="77777777" w:rsidR="005222B6" w:rsidRPr="00727E15" w:rsidRDefault="005222B6" w:rsidP="00BC1B83">
            <w:pPr>
              <w:jc w:val="center"/>
              <w:rPr>
                <w:sz w:val="20"/>
                <w:szCs w:val="20"/>
              </w:rPr>
            </w:pPr>
            <w:r w:rsidRPr="00727E15">
              <w:rPr>
                <w:sz w:val="20"/>
                <w:szCs w:val="20"/>
              </w:rPr>
              <w:t>-17,7</w:t>
            </w:r>
          </w:p>
        </w:tc>
        <w:tc>
          <w:tcPr>
            <w:tcW w:w="920" w:type="dxa"/>
            <w:tcBorders>
              <w:top w:val="nil"/>
              <w:left w:val="single" w:sz="4" w:space="0" w:color="auto"/>
              <w:bottom w:val="single" w:sz="4" w:space="0" w:color="auto"/>
              <w:right w:val="single" w:sz="4" w:space="0" w:color="auto"/>
            </w:tcBorders>
            <w:shd w:val="clear" w:color="000000" w:fill="F9806F"/>
            <w:noWrap/>
            <w:vAlign w:val="bottom"/>
            <w:hideMark/>
          </w:tcPr>
          <w:p w14:paraId="58FD7CC2" w14:textId="77777777" w:rsidR="005222B6" w:rsidRPr="00727E15" w:rsidRDefault="005222B6" w:rsidP="00BC1B83">
            <w:pPr>
              <w:jc w:val="center"/>
              <w:rPr>
                <w:sz w:val="20"/>
                <w:szCs w:val="20"/>
              </w:rPr>
            </w:pPr>
            <w:r w:rsidRPr="00727E15">
              <w:rPr>
                <w:sz w:val="20"/>
                <w:szCs w:val="20"/>
              </w:rPr>
              <w:t>-72,2</w:t>
            </w:r>
          </w:p>
        </w:tc>
        <w:tc>
          <w:tcPr>
            <w:tcW w:w="920" w:type="dxa"/>
            <w:tcBorders>
              <w:top w:val="nil"/>
              <w:left w:val="single" w:sz="4" w:space="0" w:color="auto"/>
              <w:bottom w:val="single" w:sz="4" w:space="0" w:color="auto"/>
              <w:right w:val="single" w:sz="4" w:space="0" w:color="auto"/>
            </w:tcBorders>
            <w:shd w:val="clear" w:color="000000" w:fill="F9816F"/>
            <w:noWrap/>
            <w:vAlign w:val="bottom"/>
            <w:hideMark/>
          </w:tcPr>
          <w:p w14:paraId="0FA7FA6B" w14:textId="77777777" w:rsidR="005222B6" w:rsidRPr="00727E15" w:rsidRDefault="005222B6" w:rsidP="00BC1B83">
            <w:pPr>
              <w:jc w:val="center"/>
              <w:rPr>
                <w:sz w:val="20"/>
                <w:szCs w:val="20"/>
              </w:rPr>
            </w:pPr>
            <w:r w:rsidRPr="00727E15">
              <w:rPr>
                <w:sz w:val="20"/>
                <w:szCs w:val="20"/>
              </w:rPr>
              <w:t>-71,5</w:t>
            </w:r>
          </w:p>
        </w:tc>
        <w:tc>
          <w:tcPr>
            <w:tcW w:w="920" w:type="dxa"/>
            <w:tcBorders>
              <w:top w:val="nil"/>
              <w:left w:val="single" w:sz="4" w:space="0" w:color="auto"/>
              <w:bottom w:val="single" w:sz="4" w:space="0" w:color="auto"/>
              <w:right w:val="single" w:sz="4" w:space="0" w:color="auto"/>
            </w:tcBorders>
            <w:shd w:val="clear" w:color="000000" w:fill="FA8F72"/>
            <w:noWrap/>
            <w:vAlign w:val="bottom"/>
            <w:hideMark/>
          </w:tcPr>
          <w:p w14:paraId="3A3E897A" w14:textId="77777777" w:rsidR="005222B6" w:rsidRPr="00727E15" w:rsidRDefault="005222B6" w:rsidP="00BC1B83">
            <w:pPr>
              <w:jc w:val="center"/>
              <w:rPr>
                <w:sz w:val="20"/>
                <w:szCs w:val="20"/>
              </w:rPr>
            </w:pPr>
            <w:r w:rsidRPr="00727E15">
              <w:rPr>
                <w:sz w:val="20"/>
                <w:szCs w:val="20"/>
              </w:rPr>
              <w:t>-63,2</w:t>
            </w:r>
          </w:p>
        </w:tc>
      </w:tr>
    </w:tbl>
    <w:p w14:paraId="319022DC" w14:textId="77777777" w:rsidR="005222B6" w:rsidRPr="00727E15" w:rsidRDefault="005222B6" w:rsidP="005222B6">
      <w:pPr>
        <w:jc w:val="center"/>
        <w:rPr>
          <w:sz w:val="20"/>
          <w:szCs w:val="20"/>
        </w:rPr>
      </w:pPr>
      <w:r w:rsidRPr="00727E15">
        <w:rPr>
          <w:sz w:val="20"/>
          <w:szCs w:val="20"/>
        </w:rPr>
        <w:t>Fuente: Elaboración propia en base a INDEC.</w:t>
      </w:r>
    </w:p>
    <w:p w14:paraId="392026A2" w14:textId="6F2FD112" w:rsidR="000260C7" w:rsidRPr="00727E15" w:rsidRDefault="000260C7" w:rsidP="000260C7">
      <w:pPr>
        <w:rPr>
          <w:b/>
        </w:rPr>
      </w:pPr>
      <w:r w:rsidRPr="00727E15">
        <w:rPr>
          <w:b/>
        </w:rPr>
        <w:lastRenderedPageBreak/>
        <w:t xml:space="preserve">Cuadro </w:t>
      </w:r>
      <w:r>
        <w:rPr>
          <w:b/>
        </w:rPr>
        <w:t>4</w:t>
      </w:r>
      <w:r w:rsidRPr="00727E15">
        <w:rPr>
          <w:b/>
        </w:rPr>
        <w:t xml:space="preserve">. </w:t>
      </w:r>
      <w:r>
        <w:t>Evolución del IPI y el ISAC</w:t>
      </w:r>
      <w:r w:rsidRPr="00727E15">
        <w:t xml:space="preserve">. </w:t>
      </w:r>
    </w:p>
    <w:p w14:paraId="01962E2A" w14:textId="77777777" w:rsidR="005222B6" w:rsidRDefault="005222B6" w:rsidP="005222B6">
      <w:pPr>
        <w:jc w:val="center"/>
        <w:rPr>
          <w:sz w:val="20"/>
          <w:szCs w:val="20"/>
        </w:rPr>
      </w:pPr>
    </w:p>
    <w:tbl>
      <w:tblPr>
        <w:tblW w:w="4973" w:type="dxa"/>
        <w:jc w:val="center"/>
        <w:tblCellMar>
          <w:left w:w="70" w:type="dxa"/>
          <w:right w:w="70" w:type="dxa"/>
        </w:tblCellMar>
        <w:tblLook w:val="04A0" w:firstRow="1" w:lastRow="0" w:firstColumn="1" w:lastColumn="0" w:noHBand="0" w:noVBand="1"/>
      </w:tblPr>
      <w:tblGrid>
        <w:gridCol w:w="837"/>
        <w:gridCol w:w="1003"/>
        <w:gridCol w:w="1067"/>
        <w:gridCol w:w="973"/>
        <w:gridCol w:w="1093"/>
      </w:tblGrid>
      <w:tr w:rsidR="005222B6" w:rsidRPr="000D1C1E" w14:paraId="4F41F5A9" w14:textId="77777777" w:rsidTr="00BC1B83">
        <w:trPr>
          <w:trHeight w:val="285"/>
          <w:jc w:val="center"/>
        </w:trPr>
        <w:tc>
          <w:tcPr>
            <w:tcW w:w="837" w:type="dxa"/>
            <w:vMerge w:val="restart"/>
            <w:tcBorders>
              <w:top w:val="single" w:sz="4" w:space="0" w:color="auto"/>
              <w:left w:val="single" w:sz="4" w:space="0" w:color="auto"/>
              <w:bottom w:val="single" w:sz="4" w:space="0" w:color="000000"/>
              <w:right w:val="nil"/>
            </w:tcBorders>
            <w:shd w:val="clear" w:color="000000" w:fill="0070C0"/>
            <w:noWrap/>
            <w:vAlign w:val="bottom"/>
            <w:hideMark/>
          </w:tcPr>
          <w:p w14:paraId="7975A55F" w14:textId="77777777" w:rsidR="005222B6" w:rsidRPr="000D1C1E" w:rsidRDefault="005222B6" w:rsidP="00BC1B83">
            <w:pPr>
              <w:jc w:val="center"/>
              <w:rPr>
                <w:rFonts w:eastAsia="Times New Roman"/>
                <w:b/>
                <w:bCs/>
                <w:color w:val="FFFFFF"/>
              </w:rPr>
            </w:pPr>
            <w:r w:rsidRPr="000D1C1E">
              <w:rPr>
                <w:rFonts w:eastAsia="Times New Roman"/>
                <w:b/>
                <w:bCs/>
                <w:color w:val="FFFFFF"/>
              </w:rPr>
              <w:t> </w:t>
            </w:r>
          </w:p>
        </w:tc>
        <w:tc>
          <w:tcPr>
            <w:tcW w:w="2070" w:type="dxa"/>
            <w:gridSpan w:val="2"/>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31561C7C" w14:textId="77777777" w:rsidR="005222B6" w:rsidRPr="000D1C1E" w:rsidRDefault="005222B6" w:rsidP="00BC1B83">
            <w:pPr>
              <w:jc w:val="center"/>
              <w:rPr>
                <w:rFonts w:eastAsia="Times New Roman"/>
                <w:b/>
                <w:bCs/>
                <w:color w:val="FFFFFF"/>
                <w:sz w:val="18"/>
                <w:szCs w:val="18"/>
              </w:rPr>
            </w:pPr>
            <w:r w:rsidRPr="000D1C1E">
              <w:rPr>
                <w:rFonts w:eastAsia="Times New Roman"/>
                <w:b/>
                <w:bCs/>
                <w:color w:val="FFFFFF"/>
                <w:sz w:val="18"/>
                <w:szCs w:val="18"/>
              </w:rPr>
              <w:t>IPI (</w:t>
            </w:r>
            <w:proofErr w:type="spellStart"/>
            <w:r w:rsidRPr="000D1C1E">
              <w:rPr>
                <w:rFonts w:eastAsia="Times New Roman"/>
                <w:b/>
                <w:bCs/>
                <w:color w:val="FFFFFF"/>
                <w:sz w:val="18"/>
                <w:szCs w:val="18"/>
              </w:rPr>
              <w:t>var</w:t>
            </w:r>
            <w:proofErr w:type="spellEnd"/>
            <w:r w:rsidRPr="000D1C1E">
              <w:rPr>
                <w:rFonts w:eastAsia="Times New Roman"/>
                <w:b/>
                <w:bCs/>
                <w:color w:val="FFFFFF"/>
                <w:sz w:val="18"/>
                <w:szCs w:val="18"/>
              </w:rPr>
              <w:t>. porcentual)</w:t>
            </w:r>
          </w:p>
        </w:tc>
        <w:tc>
          <w:tcPr>
            <w:tcW w:w="2066" w:type="dxa"/>
            <w:gridSpan w:val="2"/>
            <w:tcBorders>
              <w:top w:val="single" w:sz="4" w:space="0" w:color="auto"/>
              <w:left w:val="nil"/>
              <w:bottom w:val="single" w:sz="4" w:space="0" w:color="auto"/>
              <w:right w:val="single" w:sz="4" w:space="0" w:color="auto"/>
            </w:tcBorders>
            <w:shd w:val="clear" w:color="000000" w:fill="0070C0"/>
            <w:noWrap/>
            <w:vAlign w:val="bottom"/>
            <w:hideMark/>
          </w:tcPr>
          <w:p w14:paraId="4F8F8083" w14:textId="77777777" w:rsidR="005222B6" w:rsidRPr="000D1C1E" w:rsidRDefault="005222B6" w:rsidP="00BC1B83">
            <w:pPr>
              <w:jc w:val="center"/>
              <w:rPr>
                <w:rFonts w:eastAsia="Times New Roman"/>
                <w:b/>
                <w:bCs/>
                <w:color w:val="FFFFFF"/>
                <w:sz w:val="18"/>
                <w:szCs w:val="18"/>
              </w:rPr>
            </w:pPr>
            <w:r w:rsidRPr="000D1C1E">
              <w:rPr>
                <w:rFonts w:eastAsia="Times New Roman"/>
                <w:b/>
                <w:bCs/>
                <w:color w:val="FFFFFF"/>
                <w:sz w:val="18"/>
                <w:szCs w:val="18"/>
              </w:rPr>
              <w:t>ISAC (</w:t>
            </w:r>
            <w:proofErr w:type="spellStart"/>
            <w:r w:rsidRPr="000D1C1E">
              <w:rPr>
                <w:rFonts w:eastAsia="Times New Roman"/>
                <w:b/>
                <w:bCs/>
                <w:color w:val="FFFFFF"/>
                <w:sz w:val="18"/>
                <w:szCs w:val="18"/>
              </w:rPr>
              <w:t>var</w:t>
            </w:r>
            <w:proofErr w:type="spellEnd"/>
            <w:r w:rsidRPr="000D1C1E">
              <w:rPr>
                <w:rFonts w:eastAsia="Times New Roman"/>
                <w:b/>
                <w:bCs/>
                <w:color w:val="FFFFFF"/>
                <w:sz w:val="18"/>
                <w:szCs w:val="18"/>
              </w:rPr>
              <w:t>. porcentual)</w:t>
            </w:r>
          </w:p>
        </w:tc>
      </w:tr>
      <w:tr w:rsidR="005222B6" w:rsidRPr="000D1C1E" w14:paraId="48762A18" w14:textId="77777777" w:rsidTr="00BC1B83">
        <w:trPr>
          <w:trHeight w:val="1125"/>
          <w:jc w:val="center"/>
        </w:trPr>
        <w:tc>
          <w:tcPr>
            <w:tcW w:w="837" w:type="dxa"/>
            <w:vMerge/>
            <w:tcBorders>
              <w:top w:val="single" w:sz="4" w:space="0" w:color="auto"/>
              <w:left w:val="single" w:sz="4" w:space="0" w:color="auto"/>
              <w:bottom w:val="single" w:sz="4" w:space="0" w:color="000000"/>
              <w:right w:val="nil"/>
            </w:tcBorders>
            <w:vAlign w:val="center"/>
            <w:hideMark/>
          </w:tcPr>
          <w:p w14:paraId="307A2698" w14:textId="77777777" w:rsidR="005222B6" w:rsidRPr="000D1C1E" w:rsidRDefault="005222B6" w:rsidP="00BC1B83">
            <w:pPr>
              <w:rPr>
                <w:rFonts w:eastAsia="Times New Roman"/>
                <w:b/>
                <w:bCs/>
                <w:color w:val="FFFFFF"/>
              </w:rPr>
            </w:pPr>
          </w:p>
        </w:tc>
        <w:tc>
          <w:tcPr>
            <w:tcW w:w="1003" w:type="dxa"/>
            <w:tcBorders>
              <w:top w:val="nil"/>
              <w:left w:val="single" w:sz="4" w:space="0" w:color="auto"/>
              <w:bottom w:val="single" w:sz="4" w:space="0" w:color="auto"/>
              <w:right w:val="single" w:sz="4" w:space="0" w:color="auto"/>
            </w:tcBorders>
            <w:shd w:val="clear" w:color="000000" w:fill="0070C0"/>
            <w:vAlign w:val="center"/>
            <w:hideMark/>
          </w:tcPr>
          <w:p w14:paraId="592752A9" w14:textId="77777777" w:rsidR="005222B6" w:rsidRPr="000D1C1E" w:rsidRDefault="005222B6" w:rsidP="00BC1B83">
            <w:pPr>
              <w:jc w:val="center"/>
              <w:rPr>
                <w:rFonts w:eastAsia="Times New Roman"/>
                <w:color w:val="FFFFFF"/>
                <w:sz w:val="16"/>
                <w:szCs w:val="16"/>
              </w:rPr>
            </w:pPr>
            <w:r w:rsidRPr="000D1C1E">
              <w:rPr>
                <w:rFonts w:eastAsia="Times New Roman"/>
                <w:color w:val="FFFFFF"/>
                <w:sz w:val="16"/>
                <w:szCs w:val="16"/>
              </w:rPr>
              <w:t>respecto al mismo mes del año anterior</w:t>
            </w:r>
          </w:p>
        </w:tc>
        <w:tc>
          <w:tcPr>
            <w:tcW w:w="1067" w:type="dxa"/>
            <w:tcBorders>
              <w:top w:val="nil"/>
              <w:left w:val="nil"/>
              <w:bottom w:val="single" w:sz="4" w:space="0" w:color="auto"/>
              <w:right w:val="single" w:sz="4" w:space="0" w:color="auto"/>
            </w:tcBorders>
            <w:shd w:val="clear" w:color="000000" w:fill="0070C0"/>
            <w:vAlign w:val="center"/>
            <w:hideMark/>
          </w:tcPr>
          <w:p w14:paraId="549AF522" w14:textId="77777777" w:rsidR="005222B6" w:rsidRPr="000D1C1E" w:rsidRDefault="005222B6" w:rsidP="00BC1B83">
            <w:pPr>
              <w:jc w:val="center"/>
              <w:rPr>
                <w:rFonts w:eastAsia="Times New Roman"/>
                <w:color w:val="FFFFFF"/>
                <w:sz w:val="16"/>
                <w:szCs w:val="16"/>
              </w:rPr>
            </w:pPr>
            <w:r w:rsidRPr="000D1C1E">
              <w:rPr>
                <w:rFonts w:eastAsia="Times New Roman"/>
                <w:color w:val="FFFFFF"/>
                <w:sz w:val="16"/>
                <w:szCs w:val="16"/>
              </w:rPr>
              <w:t xml:space="preserve">respecto al mes anterior (serie </w:t>
            </w:r>
            <w:proofErr w:type="spellStart"/>
            <w:r w:rsidRPr="000D1C1E">
              <w:rPr>
                <w:rFonts w:eastAsia="Times New Roman"/>
                <w:color w:val="FFFFFF"/>
                <w:sz w:val="16"/>
                <w:szCs w:val="16"/>
              </w:rPr>
              <w:t>desest</w:t>
            </w:r>
            <w:proofErr w:type="spellEnd"/>
            <w:r w:rsidRPr="000D1C1E">
              <w:rPr>
                <w:rFonts w:eastAsia="Times New Roman"/>
                <w:color w:val="FFFFFF"/>
                <w:sz w:val="16"/>
                <w:szCs w:val="16"/>
              </w:rPr>
              <w:t>.)</w:t>
            </w:r>
          </w:p>
        </w:tc>
        <w:tc>
          <w:tcPr>
            <w:tcW w:w="973" w:type="dxa"/>
            <w:tcBorders>
              <w:top w:val="nil"/>
              <w:left w:val="nil"/>
              <w:bottom w:val="single" w:sz="4" w:space="0" w:color="auto"/>
              <w:right w:val="single" w:sz="4" w:space="0" w:color="auto"/>
            </w:tcBorders>
            <w:shd w:val="clear" w:color="000000" w:fill="0070C0"/>
            <w:vAlign w:val="center"/>
            <w:hideMark/>
          </w:tcPr>
          <w:p w14:paraId="57BB0E17" w14:textId="77777777" w:rsidR="005222B6" w:rsidRPr="000D1C1E" w:rsidRDefault="005222B6" w:rsidP="00BC1B83">
            <w:pPr>
              <w:jc w:val="center"/>
              <w:rPr>
                <w:rFonts w:eastAsia="Times New Roman"/>
                <w:color w:val="FFFFFF"/>
                <w:sz w:val="16"/>
                <w:szCs w:val="16"/>
              </w:rPr>
            </w:pPr>
            <w:r w:rsidRPr="000D1C1E">
              <w:rPr>
                <w:rFonts w:eastAsia="Times New Roman"/>
                <w:color w:val="FFFFFF"/>
                <w:sz w:val="16"/>
                <w:szCs w:val="16"/>
              </w:rPr>
              <w:t>respecto al mismo mes del año anterior</w:t>
            </w:r>
          </w:p>
        </w:tc>
        <w:tc>
          <w:tcPr>
            <w:tcW w:w="1093" w:type="dxa"/>
            <w:tcBorders>
              <w:top w:val="nil"/>
              <w:left w:val="nil"/>
              <w:bottom w:val="single" w:sz="4" w:space="0" w:color="auto"/>
              <w:right w:val="single" w:sz="4" w:space="0" w:color="auto"/>
            </w:tcBorders>
            <w:shd w:val="clear" w:color="000000" w:fill="0070C0"/>
            <w:vAlign w:val="center"/>
            <w:hideMark/>
          </w:tcPr>
          <w:p w14:paraId="3E18620C" w14:textId="77777777" w:rsidR="005222B6" w:rsidRPr="000D1C1E" w:rsidRDefault="005222B6" w:rsidP="00BC1B83">
            <w:pPr>
              <w:jc w:val="center"/>
              <w:rPr>
                <w:rFonts w:eastAsia="Times New Roman"/>
                <w:color w:val="FFFFFF"/>
                <w:sz w:val="16"/>
                <w:szCs w:val="16"/>
              </w:rPr>
            </w:pPr>
            <w:r w:rsidRPr="000D1C1E">
              <w:rPr>
                <w:rFonts w:eastAsia="Times New Roman"/>
                <w:color w:val="FFFFFF"/>
                <w:sz w:val="16"/>
                <w:szCs w:val="16"/>
              </w:rPr>
              <w:t xml:space="preserve">respecto al mes anterior (serie </w:t>
            </w:r>
            <w:proofErr w:type="spellStart"/>
            <w:r w:rsidRPr="000D1C1E">
              <w:rPr>
                <w:rFonts w:eastAsia="Times New Roman"/>
                <w:color w:val="FFFFFF"/>
                <w:sz w:val="16"/>
                <w:szCs w:val="16"/>
              </w:rPr>
              <w:t>desest</w:t>
            </w:r>
            <w:proofErr w:type="spellEnd"/>
            <w:r w:rsidRPr="000D1C1E">
              <w:rPr>
                <w:rFonts w:eastAsia="Times New Roman"/>
                <w:color w:val="FFFFFF"/>
                <w:sz w:val="16"/>
                <w:szCs w:val="16"/>
              </w:rPr>
              <w:t>.)</w:t>
            </w:r>
          </w:p>
        </w:tc>
      </w:tr>
      <w:tr w:rsidR="005222B6" w:rsidRPr="000D1C1E" w14:paraId="03B6F012" w14:textId="77777777" w:rsidTr="00BC1B83">
        <w:trPr>
          <w:trHeight w:val="285"/>
          <w:jc w:val="center"/>
        </w:trPr>
        <w:tc>
          <w:tcPr>
            <w:tcW w:w="837" w:type="dxa"/>
            <w:tcBorders>
              <w:top w:val="nil"/>
              <w:left w:val="single" w:sz="4" w:space="0" w:color="auto"/>
              <w:bottom w:val="nil"/>
              <w:right w:val="nil"/>
            </w:tcBorders>
            <w:shd w:val="clear" w:color="000000" w:fill="FFFFFF"/>
            <w:noWrap/>
            <w:vAlign w:val="bottom"/>
            <w:hideMark/>
          </w:tcPr>
          <w:p w14:paraId="7839BC59" w14:textId="77777777" w:rsidR="005222B6" w:rsidRPr="000D1C1E" w:rsidRDefault="005222B6" w:rsidP="00BC1B83">
            <w:pPr>
              <w:rPr>
                <w:rFonts w:eastAsia="Times New Roman"/>
                <w:color w:val="000000"/>
                <w:sz w:val="16"/>
                <w:szCs w:val="16"/>
              </w:rPr>
            </w:pPr>
            <w:r w:rsidRPr="000D1C1E">
              <w:rPr>
                <w:rFonts w:eastAsia="Times New Roman"/>
                <w:color w:val="000000"/>
                <w:sz w:val="16"/>
                <w:szCs w:val="16"/>
              </w:rPr>
              <w:t>Enero</w:t>
            </w:r>
          </w:p>
        </w:tc>
        <w:tc>
          <w:tcPr>
            <w:tcW w:w="1003" w:type="dxa"/>
            <w:tcBorders>
              <w:top w:val="nil"/>
              <w:left w:val="single" w:sz="4" w:space="0" w:color="auto"/>
              <w:bottom w:val="nil"/>
              <w:right w:val="single" w:sz="4" w:space="0" w:color="auto"/>
            </w:tcBorders>
            <w:shd w:val="clear" w:color="000000" w:fill="FFFFFF"/>
            <w:noWrap/>
            <w:vAlign w:val="bottom"/>
            <w:hideMark/>
          </w:tcPr>
          <w:p w14:paraId="59FB962C" w14:textId="77777777" w:rsidR="005222B6" w:rsidRPr="000D1C1E" w:rsidRDefault="005222B6" w:rsidP="00BC1B83">
            <w:pPr>
              <w:jc w:val="center"/>
              <w:rPr>
                <w:rFonts w:eastAsia="Times New Roman"/>
                <w:sz w:val="16"/>
                <w:szCs w:val="16"/>
              </w:rPr>
            </w:pPr>
            <w:r w:rsidRPr="000D1C1E">
              <w:rPr>
                <w:rFonts w:eastAsia="Times New Roman"/>
                <w:sz w:val="16"/>
                <w:szCs w:val="16"/>
              </w:rPr>
              <w:t>-0,1</w:t>
            </w:r>
          </w:p>
        </w:tc>
        <w:tc>
          <w:tcPr>
            <w:tcW w:w="1067" w:type="dxa"/>
            <w:tcBorders>
              <w:top w:val="nil"/>
              <w:left w:val="nil"/>
              <w:bottom w:val="nil"/>
              <w:right w:val="single" w:sz="4" w:space="0" w:color="auto"/>
            </w:tcBorders>
            <w:shd w:val="clear" w:color="000000" w:fill="FFFFFF"/>
            <w:noWrap/>
            <w:vAlign w:val="bottom"/>
            <w:hideMark/>
          </w:tcPr>
          <w:p w14:paraId="23BCE8EF" w14:textId="77777777" w:rsidR="005222B6" w:rsidRPr="000D1C1E" w:rsidRDefault="005222B6" w:rsidP="00BC1B83">
            <w:pPr>
              <w:jc w:val="center"/>
              <w:rPr>
                <w:rFonts w:eastAsia="Times New Roman"/>
                <w:sz w:val="16"/>
                <w:szCs w:val="16"/>
              </w:rPr>
            </w:pPr>
            <w:r w:rsidRPr="000D1C1E">
              <w:rPr>
                <w:rFonts w:eastAsia="Times New Roman"/>
                <w:sz w:val="16"/>
                <w:szCs w:val="16"/>
              </w:rPr>
              <w:t>1,1</w:t>
            </w:r>
          </w:p>
        </w:tc>
        <w:tc>
          <w:tcPr>
            <w:tcW w:w="973" w:type="dxa"/>
            <w:tcBorders>
              <w:top w:val="nil"/>
              <w:left w:val="nil"/>
              <w:bottom w:val="nil"/>
              <w:right w:val="single" w:sz="4" w:space="0" w:color="auto"/>
            </w:tcBorders>
            <w:shd w:val="clear" w:color="000000" w:fill="FFFFFF"/>
            <w:noWrap/>
            <w:vAlign w:val="bottom"/>
            <w:hideMark/>
          </w:tcPr>
          <w:p w14:paraId="2140CF39" w14:textId="77777777" w:rsidR="005222B6" w:rsidRPr="000D1C1E" w:rsidRDefault="005222B6" w:rsidP="00BC1B83">
            <w:pPr>
              <w:jc w:val="center"/>
              <w:rPr>
                <w:rFonts w:eastAsia="Times New Roman"/>
                <w:sz w:val="16"/>
                <w:szCs w:val="16"/>
              </w:rPr>
            </w:pPr>
            <w:r w:rsidRPr="000D1C1E">
              <w:rPr>
                <w:rFonts w:eastAsia="Times New Roman"/>
                <w:sz w:val="16"/>
                <w:szCs w:val="16"/>
              </w:rPr>
              <w:t>-13,5</w:t>
            </w:r>
          </w:p>
        </w:tc>
        <w:tc>
          <w:tcPr>
            <w:tcW w:w="1093" w:type="dxa"/>
            <w:tcBorders>
              <w:top w:val="nil"/>
              <w:left w:val="nil"/>
              <w:bottom w:val="nil"/>
              <w:right w:val="single" w:sz="4" w:space="0" w:color="auto"/>
            </w:tcBorders>
            <w:shd w:val="clear" w:color="000000" w:fill="FFFFFF"/>
            <w:noWrap/>
            <w:vAlign w:val="bottom"/>
            <w:hideMark/>
          </w:tcPr>
          <w:p w14:paraId="4E5A929A" w14:textId="77777777" w:rsidR="005222B6" w:rsidRPr="000D1C1E" w:rsidRDefault="005222B6" w:rsidP="00BC1B83">
            <w:pPr>
              <w:jc w:val="center"/>
              <w:rPr>
                <w:rFonts w:eastAsia="Times New Roman"/>
                <w:sz w:val="16"/>
                <w:szCs w:val="16"/>
              </w:rPr>
            </w:pPr>
            <w:r w:rsidRPr="000D1C1E">
              <w:rPr>
                <w:rFonts w:eastAsia="Times New Roman"/>
                <w:sz w:val="16"/>
                <w:szCs w:val="16"/>
              </w:rPr>
              <w:t>-1,1</w:t>
            </w:r>
          </w:p>
        </w:tc>
      </w:tr>
      <w:tr w:rsidR="005222B6" w:rsidRPr="000D1C1E" w14:paraId="14183AF8" w14:textId="77777777" w:rsidTr="00BC1B83">
        <w:trPr>
          <w:trHeight w:val="285"/>
          <w:jc w:val="center"/>
        </w:trPr>
        <w:tc>
          <w:tcPr>
            <w:tcW w:w="837" w:type="dxa"/>
            <w:tcBorders>
              <w:top w:val="nil"/>
              <w:left w:val="single" w:sz="4" w:space="0" w:color="auto"/>
              <w:bottom w:val="nil"/>
              <w:right w:val="nil"/>
            </w:tcBorders>
            <w:shd w:val="clear" w:color="000000" w:fill="FFFFFF"/>
            <w:noWrap/>
            <w:vAlign w:val="bottom"/>
            <w:hideMark/>
          </w:tcPr>
          <w:p w14:paraId="1C249904" w14:textId="77777777" w:rsidR="005222B6" w:rsidRPr="000D1C1E" w:rsidRDefault="005222B6" w:rsidP="00BC1B83">
            <w:pPr>
              <w:rPr>
                <w:rFonts w:eastAsia="Times New Roman"/>
                <w:color w:val="000000"/>
                <w:sz w:val="16"/>
                <w:szCs w:val="16"/>
              </w:rPr>
            </w:pPr>
            <w:r w:rsidRPr="000D1C1E">
              <w:rPr>
                <w:rFonts w:eastAsia="Times New Roman"/>
                <w:color w:val="000000"/>
                <w:sz w:val="16"/>
                <w:szCs w:val="16"/>
              </w:rPr>
              <w:t>Febrero</w:t>
            </w:r>
          </w:p>
        </w:tc>
        <w:tc>
          <w:tcPr>
            <w:tcW w:w="1003" w:type="dxa"/>
            <w:tcBorders>
              <w:top w:val="nil"/>
              <w:left w:val="single" w:sz="4" w:space="0" w:color="auto"/>
              <w:bottom w:val="nil"/>
              <w:right w:val="single" w:sz="4" w:space="0" w:color="auto"/>
            </w:tcBorders>
            <w:shd w:val="clear" w:color="000000" w:fill="FFFFFF"/>
            <w:noWrap/>
            <w:vAlign w:val="bottom"/>
            <w:hideMark/>
          </w:tcPr>
          <w:p w14:paraId="430EE3F4" w14:textId="77777777" w:rsidR="005222B6" w:rsidRPr="000D1C1E" w:rsidRDefault="005222B6" w:rsidP="00BC1B83">
            <w:pPr>
              <w:jc w:val="center"/>
              <w:rPr>
                <w:rFonts w:eastAsia="Times New Roman"/>
                <w:sz w:val="16"/>
                <w:szCs w:val="16"/>
              </w:rPr>
            </w:pPr>
            <w:r w:rsidRPr="000D1C1E">
              <w:rPr>
                <w:rFonts w:eastAsia="Times New Roman"/>
                <w:sz w:val="16"/>
                <w:szCs w:val="16"/>
              </w:rPr>
              <w:t>-0,8</w:t>
            </w:r>
          </w:p>
        </w:tc>
        <w:tc>
          <w:tcPr>
            <w:tcW w:w="1067" w:type="dxa"/>
            <w:tcBorders>
              <w:top w:val="nil"/>
              <w:left w:val="nil"/>
              <w:bottom w:val="nil"/>
              <w:right w:val="single" w:sz="4" w:space="0" w:color="auto"/>
            </w:tcBorders>
            <w:shd w:val="clear" w:color="000000" w:fill="FFFFFF"/>
            <w:noWrap/>
            <w:vAlign w:val="bottom"/>
            <w:hideMark/>
          </w:tcPr>
          <w:p w14:paraId="2D4BD5A4" w14:textId="77777777" w:rsidR="005222B6" w:rsidRPr="000D1C1E" w:rsidRDefault="005222B6" w:rsidP="00BC1B83">
            <w:pPr>
              <w:jc w:val="center"/>
              <w:rPr>
                <w:rFonts w:eastAsia="Times New Roman"/>
                <w:sz w:val="16"/>
                <w:szCs w:val="16"/>
              </w:rPr>
            </w:pPr>
            <w:r w:rsidRPr="000D1C1E">
              <w:rPr>
                <w:rFonts w:eastAsia="Times New Roman"/>
                <w:sz w:val="16"/>
                <w:szCs w:val="16"/>
              </w:rPr>
              <w:t>0,2</w:t>
            </w:r>
          </w:p>
        </w:tc>
        <w:tc>
          <w:tcPr>
            <w:tcW w:w="973" w:type="dxa"/>
            <w:tcBorders>
              <w:top w:val="nil"/>
              <w:left w:val="nil"/>
              <w:bottom w:val="nil"/>
              <w:right w:val="single" w:sz="4" w:space="0" w:color="auto"/>
            </w:tcBorders>
            <w:shd w:val="clear" w:color="000000" w:fill="FFFFFF"/>
            <w:noWrap/>
            <w:vAlign w:val="bottom"/>
            <w:hideMark/>
          </w:tcPr>
          <w:p w14:paraId="514FD1CA" w14:textId="77777777" w:rsidR="005222B6" w:rsidRPr="000D1C1E" w:rsidRDefault="005222B6" w:rsidP="00BC1B83">
            <w:pPr>
              <w:jc w:val="center"/>
              <w:rPr>
                <w:rFonts w:eastAsia="Times New Roman"/>
                <w:sz w:val="16"/>
                <w:szCs w:val="16"/>
              </w:rPr>
            </w:pPr>
            <w:r w:rsidRPr="000D1C1E">
              <w:rPr>
                <w:rFonts w:eastAsia="Times New Roman"/>
                <w:sz w:val="16"/>
                <w:szCs w:val="16"/>
              </w:rPr>
              <w:t>-22,1</w:t>
            </w:r>
          </w:p>
        </w:tc>
        <w:tc>
          <w:tcPr>
            <w:tcW w:w="1093" w:type="dxa"/>
            <w:tcBorders>
              <w:top w:val="nil"/>
              <w:left w:val="nil"/>
              <w:bottom w:val="nil"/>
              <w:right w:val="single" w:sz="4" w:space="0" w:color="auto"/>
            </w:tcBorders>
            <w:shd w:val="clear" w:color="000000" w:fill="FFFFFF"/>
            <w:noWrap/>
            <w:vAlign w:val="bottom"/>
            <w:hideMark/>
          </w:tcPr>
          <w:p w14:paraId="7E300AB8" w14:textId="77777777" w:rsidR="005222B6" w:rsidRPr="000D1C1E" w:rsidRDefault="005222B6" w:rsidP="00BC1B83">
            <w:pPr>
              <w:jc w:val="center"/>
              <w:rPr>
                <w:rFonts w:eastAsia="Times New Roman"/>
                <w:sz w:val="16"/>
                <w:szCs w:val="16"/>
              </w:rPr>
            </w:pPr>
            <w:r w:rsidRPr="000D1C1E">
              <w:rPr>
                <w:rFonts w:eastAsia="Times New Roman"/>
                <w:sz w:val="16"/>
                <w:szCs w:val="16"/>
              </w:rPr>
              <w:t>1,0</w:t>
            </w:r>
          </w:p>
        </w:tc>
      </w:tr>
      <w:tr w:rsidR="005222B6" w:rsidRPr="000D1C1E" w14:paraId="60CF11B4" w14:textId="77777777" w:rsidTr="00BC1B83">
        <w:trPr>
          <w:trHeight w:val="285"/>
          <w:jc w:val="center"/>
        </w:trPr>
        <w:tc>
          <w:tcPr>
            <w:tcW w:w="837" w:type="dxa"/>
            <w:tcBorders>
              <w:top w:val="nil"/>
              <w:left w:val="single" w:sz="4" w:space="0" w:color="auto"/>
              <w:bottom w:val="nil"/>
              <w:right w:val="nil"/>
            </w:tcBorders>
            <w:shd w:val="clear" w:color="000000" w:fill="FFFFFF"/>
            <w:noWrap/>
            <w:vAlign w:val="bottom"/>
            <w:hideMark/>
          </w:tcPr>
          <w:p w14:paraId="009AF4F8" w14:textId="77777777" w:rsidR="005222B6" w:rsidRPr="000D1C1E" w:rsidRDefault="005222B6" w:rsidP="00BC1B83">
            <w:pPr>
              <w:rPr>
                <w:rFonts w:eastAsia="Times New Roman"/>
                <w:color w:val="000000"/>
                <w:sz w:val="16"/>
                <w:szCs w:val="16"/>
              </w:rPr>
            </w:pPr>
            <w:r w:rsidRPr="000D1C1E">
              <w:rPr>
                <w:rFonts w:eastAsia="Times New Roman"/>
                <w:color w:val="000000"/>
                <w:sz w:val="16"/>
                <w:szCs w:val="16"/>
              </w:rPr>
              <w:t>Marzo</w:t>
            </w:r>
          </w:p>
        </w:tc>
        <w:tc>
          <w:tcPr>
            <w:tcW w:w="1003" w:type="dxa"/>
            <w:tcBorders>
              <w:top w:val="nil"/>
              <w:left w:val="single" w:sz="4" w:space="0" w:color="auto"/>
              <w:bottom w:val="nil"/>
              <w:right w:val="single" w:sz="4" w:space="0" w:color="auto"/>
            </w:tcBorders>
            <w:shd w:val="clear" w:color="000000" w:fill="FFFFFF"/>
            <w:noWrap/>
            <w:vAlign w:val="bottom"/>
            <w:hideMark/>
          </w:tcPr>
          <w:p w14:paraId="53B47C66" w14:textId="77777777" w:rsidR="005222B6" w:rsidRPr="000D1C1E" w:rsidRDefault="005222B6" w:rsidP="00BC1B83">
            <w:pPr>
              <w:jc w:val="center"/>
              <w:rPr>
                <w:rFonts w:eastAsia="Times New Roman"/>
                <w:sz w:val="16"/>
                <w:szCs w:val="16"/>
              </w:rPr>
            </w:pPr>
            <w:r w:rsidRPr="000D1C1E">
              <w:rPr>
                <w:rFonts w:eastAsia="Times New Roman"/>
                <w:sz w:val="16"/>
                <w:szCs w:val="16"/>
              </w:rPr>
              <w:t>-16,5</w:t>
            </w:r>
          </w:p>
        </w:tc>
        <w:tc>
          <w:tcPr>
            <w:tcW w:w="1067" w:type="dxa"/>
            <w:tcBorders>
              <w:top w:val="nil"/>
              <w:left w:val="nil"/>
              <w:bottom w:val="nil"/>
              <w:right w:val="single" w:sz="4" w:space="0" w:color="auto"/>
            </w:tcBorders>
            <w:shd w:val="clear" w:color="000000" w:fill="FFFFFF"/>
            <w:noWrap/>
            <w:vAlign w:val="bottom"/>
            <w:hideMark/>
          </w:tcPr>
          <w:p w14:paraId="4E1538A3" w14:textId="77777777" w:rsidR="005222B6" w:rsidRPr="000D1C1E" w:rsidRDefault="005222B6" w:rsidP="00BC1B83">
            <w:pPr>
              <w:jc w:val="center"/>
              <w:rPr>
                <w:rFonts w:eastAsia="Times New Roman"/>
                <w:sz w:val="16"/>
                <w:szCs w:val="16"/>
              </w:rPr>
            </w:pPr>
            <w:r w:rsidRPr="000D1C1E">
              <w:rPr>
                <w:rFonts w:eastAsia="Times New Roman"/>
                <w:sz w:val="16"/>
                <w:szCs w:val="16"/>
              </w:rPr>
              <w:t>-21,2</w:t>
            </w:r>
          </w:p>
        </w:tc>
        <w:tc>
          <w:tcPr>
            <w:tcW w:w="973" w:type="dxa"/>
            <w:tcBorders>
              <w:top w:val="nil"/>
              <w:left w:val="nil"/>
              <w:bottom w:val="nil"/>
              <w:right w:val="single" w:sz="4" w:space="0" w:color="auto"/>
            </w:tcBorders>
            <w:shd w:val="clear" w:color="000000" w:fill="FFFFFF"/>
            <w:noWrap/>
            <w:vAlign w:val="bottom"/>
            <w:hideMark/>
          </w:tcPr>
          <w:p w14:paraId="1F2A9384" w14:textId="77777777" w:rsidR="005222B6" w:rsidRPr="000D1C1E" w:rsidRDefault="005222B6" w:rsidP="00BC1B83">
            <w:pPr>
              <w:jc w:val="center"/>
              <w:rPr>
                <w:rFonts w:eastAsia="Times New Roman"/>
                <w:sz w:val="16"/>
                <w:szCs w:val="16"/>
              </w:rPr>
            </w:pPr>
            <w:r w:rsidRPr="000D1C1E">
              <w:rPr>
                <w:rFonts w:eastAsia="Times New Roman"/>
                <w:sz w:val="16"/>
                <w:szCs w:val="16"/>
              </w:rPr>
              <w:t>-47,1</w:t>
            </w:r>
          </w:p>
        </w:tc>
        <w:tc>
          <w:tcPr>
            <w:tcW w:w="1093" w:type="dxa"/>
            <w:tcBorders>
              <w:top w:val="nil"/>
              <w:left w:val="nil"/>
              <w:bottom w:val="nil"/>
              <w:right w:val="single" w:sz="4" w:space="0" w:color="auto"/>
            </w:tcBorders>
            <w:shd w:val="clear" w:color="000000" w:fill="FFFFFF"/>
            <w:noWrap/>
            <w:vAlign w:val="bottom"/>
            <w:hideMark/>
          </w:tcPr>
          <w:p w14:paraId="3F6A01AD" w14:textId="77777777" w:rsidR="005222B6" w:rsidRPr="000D1C1E" w:rsidRDefault="005222B6" w:rsidP="00BC1B83">
            <w:pPr>
              <w:jc w:val="center"/>
              <w:rPr>
                <w:rFonts w:eastAsia="Times New Roman"/>
                <w:sz w:val="16"/>
                <w:szCs w:val="16"/>
              </w:rPr>
            </w:pPr>
            <w:r w:rsidRPr="000D1C1E">
              <w:rPr>
                <w:rFonts w:eastAsia="Times New Roman"/>
                <w:sz w:val="16"/>
                <w:szCs w:val="16"/>
              </w:rPr>
              <w:t>-37,4</w:t>
            </w:r>
          </w:p>
        </w:tc>
      </w:tr>
      <w:tr w:rsidR="005222B6" w:rsidRPr="000D1C1E" w14:paraId="00BFC5B1" w14:textId="77777777" w:rsidTr="00BC1B83">
        <w:trPr>
          <w:trHeight w:val="285"/>
          <w:jc w:val="center"/>
        </w:trPr>
        <w:tc>
          <w:tcPr>
            <w:tcW w:w="837" w:type="dxa"/>
            <w:tcBorders>
              <w:top w:val="nil"/>
              <w:left w:val="single" w:sz="4" w:space="0" w:color="auto"/>
              <w:bottom w:val="nil"/>
              <w:right w:val="nil"/>
            </w:tcBorders>
            <w:shd w:val="clear" w:color="000000" w:fill="FFFFFF"/>
            <w:noWrap/>
            <w:vAlign w:val="bottom"/>
            <w:hideMark/>
          </w:tcPr>
          <w:p w14:paraId="02E707A7" w14:textId="77777777" w:rsidR="005222B6" w:rsidRPr="000D1C1E" w:rsidRDefault="005222B6" w:rsidP="00BC1B83">
            <w:pPr>
              <w:rPr>
                <w:rFonts w:eastAsia="Times New Roman"/>
                <w:color w:val="000000"/>
                <w:sz w:val="16"/>
                <w:szCs w:val="16"/>
              </w:rPr>
            </w:pPr>
            <w:r w:rsidRPr="000D1C1E">
              <w:rPr>
                <w:rFonts w:eastAsia="Times New Roman"/>
                <w:color w:val="000000"/>
                <w:sz w:val="16"/>
                <w:szCs w:val="16"/>
              </w:rPr>
              <w:t>Abril</w:t>
            </w:r>
          </w:p>
        </w:tc>
        <w:tc>
          <w:tcPr>
            <w:tcW w:w="1003" w:type="dxa"/>
            <w:tcBorders>
              <w:top w:val="nil"/>
              <w:left w:val="single" w:sz="4" w:space="0" w:color="auto"/>
              <w:bottom w:val="nil"/>
              <w:right w:val="single" w:sz="4" w:space="0" w:color="auto"/>
            </w:tcBorders>
            <w:shd w:val="clear" w:color="000000" w:fill="FFFFFF"/>
            <w:noWrap/>
            <w:vAlign w:val="bottom"/>
            <w:hideMark/>
          </w:tcPr>
          <w:p w14:paraId="741D3C4D" w14:textId="77777777" w:rsidR="005222B6" w:rsidRPr="000D1C1E" w:rsidRDefault="005222B6" w:rsidP="00BC1B83">
            <w:pPr>
              <w:jc w:val="center"/>
              <w:rPr>
                <w:rFonts w:eastAsia="Times New Roman"/>
                <w:sz w:val="16"/>
                <w:szCs w:val="16"/>
              </w:rPr>
            </w:pPr>
            <w:r w:rsidRPr="000D1C1E">
              <w:rPr>
                <w:rFonts w:eastAsia="Times New Roman"/>
                <w:sz w:val="16"/>
                <w:szCs w:val="16"/>
              </w:rPr>
              <w:t>-33,3</w:t>
            </w:r>
          </w:p>
        </w:tc>
        <w:tc>
          <w:tcPr>
            <w:tcW w:w="1067" w:type="dxa"/>
            <w:tcBorders>
              <w:top w:val="nil"/>
              <w:left w:val="nil"/>
              <w:bottom w:val="nil"/>
              <w:right w:val="single" w:sz="4" w:space="0" w:color="auto"/>
            </w:tcBorders>
            <w:shd w:val="clear" w:color="000000" w:fill="FFFFFF"/>
            <w:noWrap/>
            <w:vAlign w:val="bottom"/>
            <w:hideMark/>
          </w:tcPr>
          <w:p w14:paraId="209F3D61" w14:textId="77777777" w:rsidR="005222B6" w:rsidRPr="000D1C1E" w:rsidRDefault="005222B6" w:rsidP="00BC1B83">
            <w:pPr>
              <w:jc w:val="center"/>
              <w:rPr>
                <w:rFonts w:eastAsia="Times New Roman"/>
                <w:sz w:val="16"/>
                <w:szCs w:val="16"/>
              </w:rPr>
            </w:pPr>
            <w:r w:rsidRPr="000D1C1E">
              <w:rPr>
                <w:rFonts w:eastAsia="Times New Roman"/>
                <w:sz w:val="16"/>
                <w:szCs w:val="16"/>
              </w:rPr>
              <w:t>-13,3</w:t>
            </w:r>
          </w:p>
        </w:tc>
        <w:tc>
          <w:tcPr>
            <w:tcW w:w="973" w:type="dxa"/>
            <w:tcBorders>
              <w:top w:val="nil"/>
              <w:left w:val="nil"/>
              <w:bottom w:val="nil"/>
              <w:right w:val="single" w:sz="4" w:space="0" w:color="auto"/>
            </w:tcBorders>
            <w:shd w:val="clear" w:color="000000" w:fill="FFFFFF"/>
            <w:noWrap/>
            <w:vAlign w:val="bottom"/>
            <w:hideMark/>
          </w:tcPr>
          <w:p w14:paraId="18026FE8" w14:textId="77777777" w:rsidR="005222B6" w:rsidRPr="000D1C1E" w:rsidRDefault="005222B6" w:rsidP="00BC1B83">
            <w:pPr>
              <w:jc w:val="center"/>
              <w:rPr>
                <w:rFonts w:eastAsia="Times New Roman"/>
                <w:sz w:val="16"/>
                <w:szCs w:val="16"/>
              </w:rPr>
            </w:pPr>
            <w:r w:rsidRPr="000D1C1E">
              <w:rPr>
                <w:rFonts w:eastAsia="Times New Roman"/>
                <w:sz w:val="16"/>
                <w:szCs w:val="16"/>
              </w:rPr>
              <w:t>-76,2</w:t>
            </w:r>
          </w:p>
        </w:tc>
        <w:tc>
          <w:tcPr>
            <w:tcW w:w="1093" w:type="dxa"/>
            <w:tcBorders>
              <w:top w:val="nil"/>
              <w:left w:val="nil"/>
              <w:bottom w:val="nil"/>
              <w:right w:val="single" w:sz="4" w:space="0" w:color="auto"/>
            </w:tcBorders>
            <w:shd w:val="clear" w:color="000000" w:fill="FFFFFF"/>
            <w:noWrap/>
            <w:vAlign w:val="bottom"/>
            <w:hideMark/>
          </w:tcPr>
          <w:p w14:paraId="308BDD91" w14:textId="77777777" w:rsidR="005222B6" w:rsidRPr="000D1C1E" w:rsidRDefault="005222B6" w:rsidP="00BC1B83">
            <w:pPr>
              <w:jc w:val="center"/>
              <w:rPr>
                <w:rFonts w:eastAsia="Times New Roman"/>
                <w:sz w:val="16"/>
                <w:szCs w:val="16"/>
              </w:rPr>
            </w:pPr>
            <w:r w:rsidRPr="000D1C1E">
              <w:rPr>
                <w:rFonts w:eastAsia="Times New Roman"/>
                <w:sz w:val="16"/>
                <w:szCs w:val="16"/>
              </w:rPr>
              <w:t>-49,2</w:t>
            </w:r>
          </w:p>
        </w:tc>
      </w:tr>
      <w:tr w:rsidR="005222B6" w:rsidRPr="000D1C1E" w14:paraId="6B3A91EE" w14:textId="77777777" w:rsidTr="00BC1B83">
        <w:trPr>
          <w:trHeight w:val="285"/>
          <w:jc w:val="center"/>
        </w:trPr>
        <w:tc>
          <w:tcPr>
            <w:tcW w:w="837" w:type="dxa"/>
            <w:tcBorders>
              <w:top w:val="nil"/>
              <w:left w:val="single" w:sz="4" w:space="0" w:color="auto"/>
              <w:bottom w:val="nil"/>
              <w:right w:val="nil"/>
            </w:tcBorders>
            <w:shd w:val="clear" w:color="000000" w:fill="FFFFFF"/>
            <w:noWrap/>
            <w:vAlign w:val="bottom"/>
            <w:hideMark/>
          </w:tcPr>
          <w:p w14:paraId="580FCBC0" w14:textId="77777777" w:rsidR="005222B6" w:rsidRPr="000D1C1E" w:rsidRDefault="005222B6" w:rsidP="00BC1B83">
            <w:pPr>
              <w:rPr>
                <w:rFonts w:eastAsia="Times New Roman"/>
                <w:color w:val="000000"/>
                <w:sz w:val="16"/>
                <w:szCs w:val="16"/>
              </w:rPr>
            </w:pPr>
            <w:r w:rsidRPr="000D1C1E">
              <w:rPr>
                <w:rFonts w:eastAsia="Times New Roman"/>
                <w:color w:val="000000"/>
                <w:sz w:val="16"/>
                <w:szCs w:val="16"/>
              </w:rPr>
              <w:t>Mayo</w:t>
            </w:r>
          </w:p>
        </w:tc>
        <w:tc>
          <w:tcPr>
            <w:tcW w:w="1003" w:type="dxa"/>
            <w:tcBorders>
              <w:top w:val="nil"/>
              <w:left w:val="single" w:sz="4" w:space="0" w:color="auto"/>
              <w:bottom w:val="nil"/>
              <w:right w:val="single" w:sz="4" w:space="0" w:color="auto"/>
            </w:tcBorders>
            <w:shd w:val="clear" w:color="000000" w:fill="FFFFFF"/>
            <w:noWrap/>
            <w:vAlign w:val="bottom"/>
            <w:hideMark/>
          </w:tcPr>
          <w:p w14:paraId="71086448" w14:textId="77777777" w:rsidR="005222B6" w:rsidRPr="000D1C1E" w:rsidRDefault="005222B6" w:rsidP="00BC1B83">
            <w:pPr>
              <w:jc w:val="center"/>
              <w:rPr>
                <w:rFonts w:eastAsia="Times New Roman"/>
                <w:sz w:val="16"/>
                <w:szCs w:val="16"/>
              </w:rPr>
            </w:pPr>
            <w:r w:rsidRPr="000D1C1E">
              <w:rPr>
                <w:rFonts w:eastAsia="Times New Roman"/>
                <w:sz w:val="16"/>
                <w:szCs w:val="16"/>
              </w:rPr>
              <w:t>-26,1</w:t>
            </w:r>
          </w:p>
        </w:tc>
        <w:tc>
          <w:tcPr>
            <w:tcW w:w="1067" w:type="dxa"/>
            <w:tcBorders>
              <w:top w:val="nil"/>
              <w:left w:val="nil"/>
              <w:bottom w:val="nil"/>
              <w:right w:val="single" w:sz="4" w:space="0" w:color="auto"/>
            </w:tcBorders>
            <w:shd w:val="clear" w:color="000000" w:fill="FFFFFF"/>
            <w:noWrap/>
            <w:vAlign w:val="bottom"/>
            <w:hideMark/>
          </w:tcPr>
          <w:p w14:paraId="69FC1A29" w14:textId="77777777" w:rsidR="005222B6" w:rsidRPr="000D1C1E" w:rsidRDefault="005222B6" w:rsidP="00BC1B83">
            <w:pPr>
              <w:jc w:val="center"/>
              <w:rPr>
                <w:rFonts w:eastAsia="Times New Roman"/>
                <w:sz w:val="16"/>
                <w:szCs w:val="16"/>
              </w:rPr>
            </w:pPr>
            <w:r w:rsidRPr="000D1C1E">
              <w:rPr>
                <w:rFonts w:eastAsia="Times New Roman"/>
                <w:sz w:val="16"/>
                <w:szCs w:val="16"/>
              </w:rPr>
              <w:t>12,3</w:t>
            </w:r>
          </w:p>
        </w:tc>
        <w:tc>
          <w:tcPr>
            <w:tcW w:w="973" w:type="dxa"/>
            <w:tcBorders>
              <w:top w:val="nil"/>
              <w:left w:val="nil"/>
              <w:bottom w:val="nil"/>
              <w:right w:val="single" w:sz="4" w:space="0" w:color="auto"/>
            </w:tcBorders>
            <w:shd w:val="clear" w:color="000000" w:fill="FFFFFF"/>
            <w:noWrap/>
            <w:vAlign w:val="bottom"/>
            <w:hideMark/>
          </w:tcPr>
          <w:p w14:paraId="0784886A" w14:textId="77777777" w:rsidR="005222B6" w:rsidRPr="000D1C1E" w:rsidRDefault="005222B6" w:rsidP="00BC1B83">
            <w:pPr>
              <w:jc w:val="center"/>
              <w:rPr>
                <w:rFonts w:eastAsia="Times New Roman"/>
                <w:sz w:val="16"/>
                <w:szCs w:val="16"/>
              </w:rPr>
            </w:pPr>
            <w:r w:rsidRPr="000D1C1E">
              <w:rPr>
                <w:rFonts w:eastAsia="Times New Roman"/>
                <w:sz w:val="16"/>
                <w:szCs w:val="16"/>
              </w:rPr>
              <w:t>-48,6</w:t>
            </w:r>
          </w:p>
        </w:tc>
        <w:tc>
          <w:tcPr>
            <w:tcW w:w="1093" w:type="dxa"/>
            <w:tcBorders>
              <w:top w:val="nil"/>
              <w:left w:val="nil"/>
              <w:bottom w:val="nil"/>
              <w:right w:val="single" w:sz="4" w:space="0" w:color="auto"/>
            </w:tcBorders>
            <w:shd w:val="clear" w:color="000000" w:fill="FFFFFF"/>
            <w:noWrap/>
            <w:vAlign w:val="bottom"/>
            <w:hideMark/>
          </w:tcPr>
          <w:p w14:paraId="0272051B" w14:textId="77777777" w:rsidR="005222B6" w:rsidRPr="000D1C1E" w:rsidRDefault="005222B6" w:rsidP="00BC1B83">
            <w:pPr>
              <w:jc w:val="center"/>
              <w:rPr>
                <w:rFonts w:eastAsia="Times New Roman"/>
                <w:sz w:val="16"/>
                <w:szCs w:val="16"/>
              </w:rPr>
            </w:pPr>
            <w:r w:rsidRPr="000D1C1E">
              <w:rPr>
                <w:rFonts w:eastAsia="Times New Roman"/>
                <w:sz w:val="16"/>
                <w:szCs w:val="16"/>
              </w:rPr>
              <w:t>113,6</w:t>
            </w:r>
          </w:p>
        </w:tc>
      </w:tr>
      <w:tr w:rsidR="005222B6" w:rsidRPr="000D1C1E" w14:paraId="68FF106C" w14:textId="77777777" w:rsidTr="00BC1B83">
        <w:trPr>
          <w:trHeight w:val="285"/>
          <w:jc w:val="center"/>
        </w:trPr>
        <w:tc>
          <w:tcPr>
            <w:tcW w:w="837" w:type="dxa"/>
            <w:tcBorders>
              <w:top w:val="nil"/>
              <w:left w:val="single" w:sz="4" w:space="0" w:color="auto"/>
              <w:bottom w:val="nil"/>
              <w:right w:val="nil"/>
            </w:tcBorders>
            <w:shd w:val="clear" w:color="000000" w:fill="FFFFFF"/>
            <w:noWrap/>
            <w:vAlign w:val="bottom"/>
            <w:hideMark/>
          </w:tcPr>
          <w:p w14:paraId="40FD4F59" w14:textId="77777777" w:rsidR="005222B6" w:rsidRPr="000D1C1E" w:rsidRDefault="005222B6" w:rsidP="00BC1B83">
            <w:pPr>
              <w:rPr>
                <w:rFonts w:eastAsia="Times New Roman"/>
                <w:color w:val="000000"/>
                <w:sz w:val="16"/>
                <w:szCs w:val="16"/>
              </w:rPr>
            </w:pPr>
            <w:r w:rsidRPr="000D1C1E">
              <w:rPr>
                <w:rFonts w:eastAsia="Times New Roman"/>
                <w:color w:val="000000"/>
                <w:sz w:val="16"/>
                <w:szCs w:val="16"/>
              </w:rPr>
              <w:t>Junio</w:t>
            </w:r>
          </w:p>
        </w:tc>
        <w:tc>
          <w:tcPr>
            <w:tcW w:w="1003" w:type="dxa"/>
            <w:tcBorders>
              <w:top w:val="nil"/>
              <w:left w:val="single" w:sz="4" w:space="0" w:color="auto"/>
              <w:bottom w:val="nil"/>
              <w:right w:val="single" w:sz="4" w:space="0" w:color="auto"/>
            </w:tcBorders>
            <w:shd w:val="clear" w:color="000000" w:fill="FFFFFF"/>
            <w:noWrap/>
            <w:vAlign w:val="bottom"/>
            <w:hideMark/>
          </w:tcPr>
          <w:p w14:paraId="50D9EBDD" w14:textId="77777777" w:rsidR="005222B6" w:rsidRPr="000D1C1E" w:rsidRDefault="005222B6" w:rsidP="00BC1B83">
            <w:pPr>
              <w:jc w:val="center"/>
              <w:rPr>
                <w:rFonts w:eastAsia="Times New Roman"/>
                <w:sz w:val="16"/>
                <w:szCs w:val="16"/>
              </w:rPr>
            </w:pPr>
            <w:r w:rsidRPr="000D1C1E">
              <w:rPr>
                <w:rFonts w:eastAsia="Times New Roman"/>
                <w:sz w:val="16"/>
                <w:szCs w:val="16"/>
              </w:rPr>
              <w:t>-6,3</w:t>
            </w:r>
          </w:p>
        </w:tc>
        <w:tc>
          <w:tcPr>
            <w:tcW w:w="1067" w:type="dxa"/>
            <w:tcBorders>
              <w:top w:val="nil"/>
              <w:left w:val="nil"/>
              <w:bottom w:val="nil"/>
              <w:right w:val="single" w:sz="4" w:space="0" w:color="auto"/>
            </w:tcBorders>
            <w:shd w:val="clear" w:color="000000" w:fill="FFFFFF"/>
            <w:noWrap/>
            <w:vAlign w:val="bottom"/>
            <w:hideMark/>
          </w:tcPr>
          <w:p w14:paraId="533A51A7" w14:textId="77777777" w:rsidR="005222B6" w:rsidRPr="000D1C1E" w:rsidRDefault="005222B6" w:rsidP="00BC1B83">
            <w:pPr>
              <w:jc w:val="center"/>
              <w:rPr>
                <w:rFonts w:eastAsia="Times New Roman"/>
                <w:sz w:val="16"/>
                <w:szCs w:val="16"/>
              </w:rPr>
            </w:pPr>
            <w:r w:rsidRPr="000D1C1E">
              <w:rPr>
                <w:rFonts w:eastAsia="Times New Roman"/>
                <w:sz w:val="16"/>
                <w:szCs w:val="16"/>
              </w:rPr>
              <w:t>16,5</w:t>
            </w:r>
          </w:p>
        </w:tc>
        <w:tc>
          <w:tcPr>
            <w:tcW w:w="973" w:type="dxa"/>
            <w:tcBorders>
              <w:top w:val="nil"/>
              <w:left w:val="nil"/>
              <w:bottom w:val="nil"/>
              <w:right w:val="single" w:sz="4" w:space="0" w:color="auto"/>
            </w:tcBorders>
            <w:shd w:val="clear" w:color="000000" w:fill="FFFFFF"/>
            <w:noWrap/>
            <w:vAlign w:val="bottom"/>
            <w:hideMark/>
          </w:tcPr>
          <w:p w14:paraId="7F5B61BC" w14:textId="77777777" w:rsidR="005222B6" w:rsidRPr="000D1C1E" w:rsidRDefault="005222B6" w:rsidP="00BC1B83">
            <w:pPr>
              <w:jc w:val="center"/>
              <w:rPr>
                <w:rFonts w:eastAsia="Times New Roman"/>
                <w:sz w:val="16"/>
                <w:szCs w:val="16"/>
              </w:rPr>
            </w:pPr>
            <w:r w:rsidRPr="000D1C1E">
              <w:rPr>
                <w:rFonts w:eastAsia="Times New Roman"/>
                <w:sz w:val="16"/>
                <w:szCs w:val="16"/>
              </w:rPr>
              <w:t>-14,8</w:t>
            </w:r>
          </w:p>
        </w:tc>
        <w:tc>
          <w:tcPr>
            <w:tcW w:w="1093" w:type="dxa"/>
            <w:tcBorders>
              <w:top w:val="nil"/>
              <w:left w:val="nil"/>
              <w:bottom w:val="nil"/>
              <w:right w:val="single" w:sz="4" w:space="0" w:color="auto"/>
            </w:tcBorders>
            <w:shd w:val="clear" w:color="000000" w:fill="FFFFFF"/>
            <w:noWrap/>
            <w:vAlign w:val="bottom"/>
            <w:hideMark/>
          </w:tcPr>
          <w:p w14:paraId="6FC162FA" w14:textId="77777777" w:rsidR="005222B6" w:rsidRPr="000D1C1E" w:rsidRDefault="005222B6" w:rsidP="00BC1B83">
            <w:pPr>
              <w:jc w:val="center"/>
              <w:rPr>
                <w:rFonts w:eastAsia="Times New Roman"/>
                <w:sz w:val="16"/>
                <w:szCs w:val="16"/>
              </w:rPr>
            </w:pPr>
            <w:r w:rsidRPr="000D1C1E">
              <w:rPr>
                <w:rFonts w:eastAsia="Times New Roman"/>
                <w:sz w:val="16"/>
                <w:szCs w:val="16"/>
              </w:rPr>
              <w:t>37,5</w:t>
            </w:r>
          </w:p>
        </w:tc>
      </w:tr>
      <w:tr w:rsidR="005222B6" w:rsidRPr="000D1C1E" w14:paraId="28B53D65" w14:textId="77777777" w:rsidTr="00BC1B83">
        <w:trPr>
          <w:trHeight w:val="285"/>
          <w:jc w:val="center"/>
        </w:trPr>
        <w:tc>
          <w:tcPr>
            <w:tcW w:w="837" w:type="dxa"/>
            <w:tcBorders>
              <w:top w:val="nil"/>
              <w:left w:val="single" w:sz="4" w:space="0" w:color="auto"/>
              <w:bottom w:val="single" w:sz="4" w:space="0" w:color="auto"/>
              <w:right w:val="nil"/>
            </w:tcBorders>
            <w:shd w:val="clear" w:color="000000" w:fill="FFFFFF"/>
            <w:noWrap/>
            <w:vAlign w:val="bottom"/>
            <w:hideMark/>
          </w:tcPr>
          <w:p w14:paraId="1C25E5F7" w14:textId="77777777" w:rsidR="005222B6" w:rsidRPr="000D1C1E" w:rsidRDefault="005222B6" w:rsidP="00BC1B83">
            <w:pPr>
              <w:rPr>
                <w:rFonts w:eastAsia="Times New Roman"/>
                <w:color w:val="000000"/>
                <w:sz w:val="16"/>
                <w:szCs w:val="16"/>
              </w:rPr>
            </w:pPr>
            <w:r w:rsidRPr="000D1C1E">
              <w:rPr>
                <w:rFonts w:eastAsia="Times New Roman"/>
                <w:color w:val="000000"/>
                <w:sz w:val="16"/>
                <w:szCs w:val="16"/>
              </w:rPr>
              <w:t>Julio</w:t>
            </w:r>
          </w:p>
        </w:tc>
        <w:tc>
          <w:tcPr>
            <w:tcW w:w="1003" w:type="dxa"/>
            <w:tcBorders>
              <w:top w:val="nil"/>
              <w:left w:val="single" w:sz="4" w:space="0" w:color="auto"/>
              <w:bottom w:val="single" w:sz="4" w:space="0" w:color="auto"/>
              <w:right w:val="single" w:sz="4" w:space="0" w:color="auto"/>
            </w:tcBorders>
            <w:shd w:val="clear" w:color="000000" w:fill="FFFFFF"/>
            <w:noWrap/>
            <w:vAlign w:val="bottom"/>
            <w:hideMark/>
          </w:tcPr>
          <w:p w14:paraId="74F3E954" w14:textId="77777777" w:rsidR="005222B6" w:rsidRPr="000D1C1E" w:rsidRDefault="005222B6" w:rsidP="00BC1B83">
            <w:pPr>
              <w:jc w:val="center"/>
              <w:rPr>
                <w:rFonts w:eastAsia="Times New Roman"/>
                <w:sz w:val="16"/>
                <w:szCs w:val="16"/>
              </w:rPr>
            </w:pPr>
            <w:r w:rsidRPr="000D1C1E">
              <w:rPr>
                <w:rFonts w:eastAsia="Times New Roman"/>
                <w:sz w:val="16"/>
                <w:szCs w:val="16"/>
              </w:rPr>
              <w:t>-6,9</w:t>
            </w:r>
          </w:p>
        </w:tc>
        <w:tc>
          <w:tcPr>
            <w:tcW w:w="1067" w:type="dxa"/>
            <w:tcBorders>
              <w:top w:val="nil"/>
              <w:left w:val="nil"/>
              <w:bottom w:val="single" w:sz="4" w:space="0" w:color="auto"/>
              <w:right w:val="single" w:sz="4" w:space="0" w:color="auto"/>
            </w:tcBorders>
            <w:shd w:val="clear" w:color="000000" w:fill="FFFFFF"/>
            <w:noWrap/>
            <w:vAlign w:val="bottom"/>
            <w:hideMark/>
          </w:tcPr>
          <w:p w14:paraId="4C4B28FC" w14:textId="77777777" w:rsidR="005222B6" w:rsidRPr="000D1C1E" w:rsidRDefault="005222B6" w:rsidP="00BC1B83">
            <w:pPr>
              <w:jc w:val="center"/>
              <w:rPr>
                <w:rFonts w:eastAsia="Times New Roman"/>
                <w:sz w:val="16"/>
                <w:szCs w:val="16"/>
              </w:rPr>
            </w:pPr>
            <w:r w:rsidRPr="000D1C1E">
              <w:rPr>
                <w:rFonts w:eastAsia="Times New Roman"/>
                <w:sz w:val="16"/>
                <w:szCs w:val="16"/>
              </w:rPr>
              <w:t>2,1</w:t>
            </w:r>
          </w:p>
        </w:tc>
        <w:tc>
          <w:tcPr>
            <w:tcW w:w="973" w:type="dxa"/>
            <w:tcBorders>
              <w:top w:val="nil"/>
              <w:left w:val="nil"/>
              <w:bottom w:val="single" w:sz="4" w:space="0" w:color="auto"/>
              <w:right w:val="single" w:sz="4" w:space="0" w:color="auto"/>
            </w:tcBorders>
            <w:shd w:val="clear" w:color="000000" w:fill="FFFFFF"/>
            <w:noWrap/>
            <w:vAlign w:val="bottom"/>
            <w:hideMark/>
          </w:tcPr>
          <w:p w14:paraId="7A7033EB" w14:textId="77777777" w:rsidR="005222B6" w:rsidRPr="000D1C1E" w:rsidRDefault="005222B6" w:rsidP="00BC1B83">
            <w:pPr>
              <w:jc w:val="center"/>
              <w:rPr>
                <w:rFonts w:eastAsia="Times New Roman"/>
                <w:sz w:val="16"/>
                <w:szCs w:val="16"/>
              </w:rPr>
            </w:pPr>
            <w:r w:rsidRPr="000D1C1E">
              <w:rPr>
                <w:rFonts w:eastAsia="Times New Roman"/>
                <w:sz w:val="16"/>
                <w:szCs w:val="16"/>
              </w:rPr>
              <w:t>-12,9</w:t>
            </w:r>
          </w:p>
        </w:tc>
        <w:tc>
          <w:tcPr>
            <w:tcW w:w="1093" w:type="dxa"/>
            <w:tcBorders>
              <w:top w:val="nil"/>
              <w:left w:val="nil"/>
              <w:bottom w:val="single" w:sz="4" w:space="0" w:color="auto"/>
              <w:right w:val="single" w:sz="4" w:space="0" w:color="auto"/>
            </w:tcBorders>
            <w:shd w:val="clear" w:color="000000" w:fill="FFFFFF"/>
            <w:noWrap/>
            <w:vAlign w:val="bottom"/>
            <w:hideMark/>
          </w:tcPr>
          <w:p w14:paraId="3D84BF8C" w14:textId="77777777" w:rsidR="005222B6" w:rsidRPr="000D1C1E" w:rsidRDefault="005222B6" w:rsidP="00BC1B83">
            <w:pPr>
              <w:jc w:val="center"/>
              <w:rPr>
                <w:rFonts w:eastAsia="Times New Roman"/>
                <w:sz w:val="16"/>
                <w:szCs w:val="16"/>
              </w:rPr>
            </w:pPr>
            <w:r w:rsidRPr="000D1C1E">
              <w:rPr>
                <w:rFonts w:eastAsia="Times New Roman"/>
                <w:sz w:val="16"/>
                <w:szCs w:val="16"/>
              </w:rPr>
              <w:t>6,8</w:t>
            </w:r>
          </w:p>
        </w:tc>
      </w:tr>
    </w:tbl>
    <w:p w14:paraId="4C0115DF" w14:textId="77777777" w:rsidR="005222B6" w:rsidRPr="008D4038" w:rsidRDefault="005222B6" w:rsidP="005222B6">
      <w:pPr>
        <w:jc w:val="center"/>
        <w:rPr>
          <w:sz w:val="20"/>
          <w:szCs w:val="20"/>
        </w:rPr>
      </w:pPr>
    </w:p>
    <w:p w14:paraId="60B0DF1B" w14:textId="77777777" w:rsidR="005222B6" w:rsidRDefault="005222B6" w:rsidP="005222B6">
      <w:pPr>
        <w:jc w:val="center"/>
      </w:pPr>
    </w:p>
    <w:p w14:paraId="6A4FC27C" w14:textId="10E508CF" w:rsidR="005222B6" w:rsidRDefault="005222B6">
      <w:pPr>
        <w:spacing w:before="240" w:after="240"/>
        <w:jc w:val="both"/>
      </w:pPr>
    </w:p>
    <w:p w14:paraId="3D8FA70B" w14:textId="4B083387" w:rsidR="005222B6" w:rsidRDefault="005222B6">
      <w:pPr>
        <w:spacing w:before="240" w:after="240"/>
        <w:jc w:val="both"/>
      </w:pPr>
    </w:p>
    <w:p w14:paraId="14AD966A" w14:textId="62702836" w:rsidR="005222B6" w:rsidRDefault="005222B6">
      <w:pPr>
        <w:spacing w:before="240" w:after="240"/>
        <w:jc w:val="both"/>
      </w:pPr>
    </w:p>
    <w:p w14:paraId="03C3994E" w14:textId="77777777" w:rsidR="005222B6" w:rsidRDefault="005222B6">
      <w:pPr>
        <w:spacing w:before="240" w:after="240"/>
        <w:jc w:val="both"/>
      </w:pPr>
    </w:p>
    <w:sectPr w:rsidR="005222B6">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EF7C" w14:textId="77777777" w:rsidR="008A049A" w:rsidRDefault="008A049A">
      <w:pPr>
        <w:spacing w:line="240" w:lineRule="auto"/>
      </w:pPr>
      <w:r>
        <w:separator/>
      </w:r>
    </w:p>
  </w:endnote>
  <w:endnote w:type="continuationSeparator" w:id="0">
    <w:p w14:paraId="7E6CE210" w14:textId="77777777" w:rsidR="008A049A" w:rsidRDefault="008A0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131880"/>
      <w:docPartObj>
        <w:docPartGallery w:val="Page Numbers (Bottom of Page)"/>
        <w:docPartUnique/>
      </w:docPartObj>
    </w:sdtPr>
    <w:sdtEndPr/>
    <w:sdtContent>
      <w:p w14:paraId="6F1829F0" w14:textId="635D4D15" w:rsidR="00BC1B83" w:rsidRDefault="00BC1B83">
        <w:pPr>
          <w:pStyle w:val="Piedepgina"/>
          <w:jc w:val="center"/>
        </w:pPr>
        <w:r>
          <w:fldChar w:fldCharType="begin"/>
        </w:r>
        <w:r>
          <w:instrText>PAGE   \* MERGEFORMAT</w:instrText>
        </w:r>
        <w:r>
          <w:fldChar w:fldCharType="separate"/>
        </w:r>
        <w:r>
          <w:rPr>
            <w:lang w:val="es-ES"/>
          </w:rPr>
          <w:t>2</w:t>
        </w:r>
        <w:r>
          <w:fldChar w:fldCharType="end"/>
        </w:r>
      </w:p>
    </w:sdtContent>
  </w:sdt>
  <w:p w14:paraId="51202B55" w14:textId="77777777" w:rsidR="00BC1B83" w:rsidRDefault="00BC1B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E9ED" w14:textId="77777777" w:rsidR="008A049A" w:rsidRDefault="008A049A">
      <w:pPr>
        <w:spacing w:line="240" w:lineRule="auto"/>
      </w:pPr>
      <w:r>
        <w:separator/>
      </w:r>
    </w:p>
  </w:footnote>
  <w:footnote w:type="continuationSeparator" w:id="0">
    <w:p w14:paraId="1053E85E" w14:textId="77777777" w:rsidR="008A049A" w:rsidRDefault="008A049A">
      <w:pPr>
        <w:spacing w:line="240" w:lineRule="auto"/>
      </w:pPr>
      <w:r>
        <w:continuationSeparator/>
      </w:r>
    </w:p>
  </w:footnote>
  <w:footnote w:id="1">
    <w:p w14:paraId="0D38F388" w14:textId="77777777" w:rsidR="00BC1B83" w:rsidRDefault="00BC1B83">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https://ipypp.org.ar/2020/09/23/mercado-laboral-correspondiente-al-2-trimestre-2020/</w:t>
        </w:r>
      </w:hyperlink>
    </w:p>
  </w:footnote>
  <w:footnote w:id="2">
    <w:p w14:paraId="63E8D839" w14:textId="283A47C1" w:rsidR="00BC1B83" w:rsidRPr="00A571D6" w:rsidRDefault="00BC1B83">
      <w:pPr>
        <w:pStyle w:val="Textonotapie"/>
        <w:rPr>
          <w:lang w:val="es-AR"/>
        </w:rPr>
      </w:pPr>
      <w:r>
        <w:rPr>
          <w:rStyle w:val="Refdenotaalpie"/>
        </w:rPr>
        <w:footnoteRef/>
      </w:r>
      <w:r>
        <w:t xml:space="preserve"> Según declaraciones del ministro de Desarrollo Social, Daniel Arroyo, la cantidad de personas que recibían asistencia alimentaria pasó de 8 millones a 11 millones. Lo anterior indica que un cuarto de la población no logra cubrir con sus ingresos las necesidades alimentarias reales y la tasa de indigencias, incluso la que indica el aumento al 12,4%, sea en los hechos mucho más elevada.</w:t>
      </w:r>
    </w:p>
  </w:footnote>
  <w:footnote w:id="3">
    <w:p w14:paraId="75BB865B" w14:textId="4026D2D8" w:rsidR="00BC1B83" w:rsidRPr="005315E9" w:rsidRDefault="00BC1B83">
      <w:pPr>
        <w:pStyle w:val="Textonotapie"/>
        <w:rPr>
          <w:lang w:val="es-AR"/>
        </w:rPr>
      </w:pPr>
      <w:r>
        <w:rPr>
          <w:rStyle w:val="Refdenotaalpie"/>
        </w:rPr>
        <w:footnoteRef/>
      </w:r>
      <w:r>
        <w:t xml:space="preserve"> Si recordamos que en la inscripción inicial del IFE se develó que más de 12 millones de personas manifestaron necesitar un ingreso extra, cuestión que además se corrobora en una estadística que a finales del 2019 arrojaba un cuadro laboral con cerca de 11 millones de trabajadores sin ingresos o con ingresos informales o registraciones de subsistencia, salta a la vista que todavía persiste un núcleo importante de la población sin garantía de ingresos</w:t>
      </w:r>
    </w:p>
  </w:footnote>
  <w:footnote w:id="4">
    <w:p w14:paraId="69F84178" w14:textId="4FF41928" w:rsidR="00BC1B83" w:rsidRPr="002A0F01" w:rsidRDefault="00BC1B83">
      <w:pPr>
        <w:pStyle w:val="Textonotapie"/>
        <w:rPr>
          <w:lang w:val="es-AR"/>
        </w:rPr>
      </w:pPr>
      <w:r>
        <w:rPr>
          <w:rStyle w:val="Refdenotaalpie"/>
        </w:rPr>
        <w:footnoteRef/>
      </w:r>
      <w:r>
        <w:t xml:space="preserve"> Ver más en “Las grandes empresas y la pandemia. Una receta anti-Techint”. Disponible en</w:t>
      </w:r>
      <w:hyperlink r:id="rId2">
        <w:r>
          <w:t xml:space="preserve"> </w:t>
        </w:r>
      </w:hyperlink>
      <w:hyperlink r:id="rId3">
        <w:r>
          <w:rPr>
            <w:color w:val="1155CC"/>
            <w:u w:val="single"/>
          </w:rPr>
          <w:t>www.ipypp.org.ar</w:t>
        </w:r>
      </w:hyperlink>
    </w:p>
  </w:footnote>
  <w:footnote w:id="5">
    <w:p w14:paraId="6A37FBE5" w14:textId="77777777" w:rsidR="00BC1B83" w:rsidRPr="005222B6" w:rsidRDefault="00BC1B83" w:rsidP="005222B6">
      <w:pPr>
        <w:spacing w:before="240" w:after="240"/>
        <w:jc w:val="both"/>
        <w:rPr>
          <w:sz w:val="20"/>
          <w:szCs w:val="20"/>
        </w:rPr>
      </w:pPr>
      <w:r>
        <w:rPr>
          <w:rStyle w:val="Refdenotaalpie"/>
        </w:rPr>
        <w:footnoteRef/>
      </w:r>
      <w:r>
        <w:t xml:space="preserve"> </w:t>
      </w:r>
      <w:r w:rsidRPr="005222B6">
        <w:rPr>
          <w:sz w:val="20"/>
          <w:szCs w:val="20"/>
        </w:rPr>
        <w:t>Vale recordar que en el 4to trimestre 2019 los niveles de pobreza e indigencia alcanzaron al 37,9% y al 8,4% de la población, respectivamente.</w:t>
      </w:r>
    </w:p>
    <w:p w14:paraId="5F5AC1A4" w14:textId="00C7663F" w:rsidR="00BC1B83" w:rsidRPr="005222B6" w:rsidRDefault="00BC1B83">
      <w:pPr>
        <w:pStyle w:val="Textonotapie"/>
        <w:rPr>
          <w:lang w:val="es-AR"/>
        </w:rPr>
      </w:pPr>
    </w:p>
  </w:footnote>
  <w:footnote w:id="6">
    <w:p w14:paraId="78B0D3DC" w14:textId="32CBFBAB" w:rsidR="00BC1B83" w:rsidRPr="005222B6" w:rsidRDefault="00BC1B83">
      <w:pPr>
        <w:pStyle w:val="Textonotapie"/>
        <w:rPr>
          <w:lang w:val="es-AR"/>
        </w:rPr>
      </w:pPr>
      <w:r>
        <w:rPr>
          <w:rStyle w:val="Refdenotaalpie"/>
        </w:rPr>
        <w:footnoteRef/>
      </w:r>
      <w:r>
        <w:t xml:space="preserve"> </w:t>
      </w:r>
      <w:r w:rsidRPr="005222B6">
        <w:t>Esta tarjeta permite disponer entre $4.000 y $6.000 extras a familias beneficiarias de la AUH con hijos/as menores de seis años.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DD"/>
    <w:rsid w:val="000260C7"/>
    <w:rsid w:val="000A6D9D"/>
    <w:rsid w:val="001A4A95"/>
    <w:rsid w:val="002A0F01"/>
    <w:rsid w:val="003A4D81"/>
    <w:rsid w:val="005222B6"/>
    <w:rsid w:val="005315E9"/>
    <w:rsid w:val="00546F3F"/>
    <w:rsid w:val="005D56DD"/>
    <w:rsid w:val="006D0CC3"/>
    <w:rsid w:val="007C2481"/>
    <w:rsid w:val="008A049A"/>
    <w:rsid w:val="008B01F6"/>
    <w:rsid w:val="00966045"/>
    <w:rsid w:val="009A5997"/>
    <w:rsid w:val="009B2C77"/>
    <w:rsid w:val="00A571D6"/>
    <w:rsid w:val="00BC1B83"/>
    <w:rsid w:val="00C23C71"/>
    <w:rsid w:val="00D56FAA"/>
    <w:rsid w:val="00DB00E0"/>
    <w:rsid w:val="00ED71CF"/>
    <w:rsid w:val="00EE76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8C14"/>
  <w15:docId w15:val="{84A3A0AC-6615-4B8E-9B8E-ACEB2002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A571D6"/>
    <w:pPr>
      <w:spacing w:line="240" w:lineRule="auto"/>
    </w:pPr>
    <w:rPr>
      <w:sz w:val="20"/>
      <w:szCs w:val="20"/>
    </w:rPr>
  </w:style>
  <w:style w:type="character" w:customStyle="1" w:styleId="TextonotapieCar">
    <w:name w:val="Texto nota pie Car"/>
    <w:basedOn w:val="Fuentedeprrafopredeter"/>
    <w:link w:val="Textonotapie"/>
    <w:uiPriority w:val="99"/>
    <w:semiHidden/>
    <w:rsid w:val="00A571D6"/>
    <w:rPr>
      <w:sz w:val="20"/>
      <w:szCs w:val="20"/>
    </w:rPr>
  </w:style>
  <w:style w:type="character" w:styleId="Refdenotaalpie">
    <w:name w:val="footnote reference"/>
    <w:basedOn w:val="Fuentedeprrafopredeter"/>
    <w:uiPriority w:val="99"/>
    <w:semiHidden/>
    <w:unhideWhenUsed/>
    <w:rsid w:val="00A571D6"/>
    <w:rPr>
      <w:vertAlign w:val="superscript"/>
    </w:rPr>
  </w:style>
  <w:style w:type="paragraph" w:styleId="Encabezado">
    <w:name w:val="header"/>
    <w:basedOn w:val="Normal"/>
    <w:link w:val="EncabezadoCar"/>
    <w:uiPriority w:val="99"/>
    <w:unhideWhenUsed/>
    <w:rsid w:val="00BC1B8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C1B83"/>
  </w:style>
  <w:style w:type="paragraph" w:styleId="Piedepgina">
    <w:name w:val="footer"/>
    <w:basedOn w:val="Normal"/>
    <w:link w:val="PiedepginaCar"/>
    <w:uiPriority w:val="99"/>
    <w:unhideWhenUsed/>
    <w:rsid w:val="00BC1B8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C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74173">
      <w:bodyDiv w:val="1"/>
      <w:marLeft w:val="0"/>
      <w:marRight w:val="0"/>
      <w:marTop w:val="0"/>
      <w:marBottom w:val="0"/>
      <w:divBdr>
        <w:top w:val="none" w:sz="0" w:space="0" w:color="auto"/>
        <w:left w:val="none" w:sz="0" w:space="0" w:color="auto"/>
        <w:bottom w:val="none" w:sz="0" w:space="0" w:color="auto"/>
        <w:right w:val="none" w:sz="0" w:space="0" w:color="auto"/>
      </w:divBdr>
    </w:div>
    <w:div w:id="196661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indec.gob.ar/ftp/cuadros/sociedad/EPH_metodologia_22_pobreza.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pypp.org.ar/" TargetMode="External"/><Relationship Id="rId2" Type="http://schemas.openxmlformats.org/officeDocument/2006/relationships/hyperlink" Target="http://www.ipypp.org.ar/" TargetMode="External"/><Relationship Id="rId1" Type="http://schemas.openxmlformats.org/officeDocument/2006/relationships/hyperlink" Target="https://ipypp.org.ar/2020/09/23/mercado-laboral-correspondiente-al-2-trimestr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329A-D8BD-45AD-97F8-F8459668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5212</Words>
  <Characters>28669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Rameri</dc:creator>
  <cp:lastModifiedBy>Javier Eduardo Rameri</cp:lastModifiedBy>
  <cp:revision>20</cp:revision>
  <dcterms:created xsi:type="dcterms:W3CDTF">2020-09-30T19:09:00Z</dcterms:created>
  <dcterms:modified xsi:type="dcterms:W3CDTF">2020-09-30T20:03:00Z</dcterms:modified>
</cp:coreProperties>
</file>